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《宁夏回族自治区律师事务所年度检查考核表》</w:t>
      </w:r>
      <w:r>
        <w:rPr>
          <w:rFonts w:hint="eastAsia" w:ascii="方正小标宋简体" w:hAnsi="方正小标宋简体" w:eastAsia="方正小标宋简体" w:cs="方正小标宋简体"/>
          <w:szCs w:val="32"/>
        </w:rPr>
        <w:t>（试行）</w:t>
      </w:r>
      <w:bookmarkEnd w:id="0"/>
    </w:p>
    <w:p>
      <w:pPr>
        <w:spacing w:line="560" w:lineRule="exact"/>
        <w:ind w:firstLine="480" w:firstLineChars="200"/>
        <w:jc w:val="both"/>
        <w:rPr>
          <w:rFonts w:hint="eastAsia" w:ascii="仿宋_GB2312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/>
          <w:sz w:val="24"/>
          <w:szCs w:val="24"/>
          <w:u w:val="none"/>
          <w:lang w:val="en-US" w:eastAsia="zh-CN"/>
        </w:rPr>
        <w:t xml:space="preserve">律师事务所             </w:t>
      </w:r>
      <w:r>
        <w:rPr>
          <w:rFonts w:hint="eastAsia" w:ascii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/>
          <w:sz w:val="24"/>
          <w:szCs w:val="24"/>
          <w:u w:val="none"/>
          <w:lang w:val="en-US" w:eastAsia="zh-CN"/>
        </w:rPr>
        <w:t>县（市）区司法局</w:t>
      </w:r>
    </w:p>
    <w:tbl>
      <w:tblPr>
        <w:tblStyle w:val="4"/>
        <w:tblpPr w:leftFromText="180" w:rightFromText="180" w:vertAnchor="text" w:horzAnchor="page" w:tblpX="673" w:tblpY="570"/>
        <w:tblOverlap w:val="never"/>
        <w:tblW w:w="15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940"/>
        <w:gridCol w:w="525"/>
        <w:gridCol w:w="6351"/>
        <w:gridCol w:w="643"/>
        <w:gridCol w:w="198"/>
        <w:gridCol w:w="876"/>
        <w:gridCol w:w="857"/>
        <w:gridCol w:w="895"/>
        <w:gridCol w:w="30"/>
        <w:gridCol w:w="75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一级指标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二级指标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6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三级指标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自</w:t>
            </w:r>
            <w:r>
              <w:rPr>
                <w:rFonts w:hint="eastAsia" w:ascii="仿宋_GB2312" w:eastAsia="仿宋_GB2312"/>
                <w:sz w:val="24"/>
              </w:rPr>
              <w:t>评得分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县级考核组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市级考核组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扣分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原因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得分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扣分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律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队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伍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（1）律师人员的数量、素质、结构变化的情况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（1）执业律师人员数量、资质符合法定条件、素质优良，政治坚定，业务精通（2分）；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(2) 适应业务发展需要，培育结构合理的专业团队（2分）。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听取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汇报 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座谈会            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查阅台帐资料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走访相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关单位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（2）组织律师开展思想政治教育和律师职业道德、执业纪律教育的情况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（1）制定教育培养计划（1分）；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（2）)组织实施了各项教育培养计划（3分）。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（3）组织律师开展业务学习和参加职业培训的情况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65"/>
              </w:tabs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（1）组织律师全年业务学习不少于6次（6分）；</w:t>
            </w:r>
          </w:p>
          <w:p>
            <w:pPr>
              <w:tabs>
                <w:tab w:val="left" w:pos="4165"/>
              </w:tabs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（2）律师年参加继续教育培训不少于40课时(3分)。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（4）开展律师党建工作的情况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65"/>
              </w:tabs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65"/>
              </w:tabs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（1）按要求建立党组织或联合建立党组织，聘请党建工作指导员，积极发展新党员（2分）；</w:t>
            </w:r>
          </w:p>
          <w:p>
            <w:pPr>
              <w:tabs>
                <w:tab w:val="left" w:pos="4165"/>
              </w:tabs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（2）制定党支部年度工作计划，结合本所业务特点开展活动，集体活动全年不少于6次（6分）。</w:t>
            </w:r>
          </w:p>
          <w:p>
            <w:pPr>
              <w:tabs>
                <w:tab w:val="left" w:pos="4165"/>
              </w:tabs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65"/>
              </w:tabs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二、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展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（1）办理业务的数量和类别、拓展服务领域、提高服务质量以及业务收入等方面的情况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（1）业务量逐年递增、服务领域不断拓展（2分）；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（2）团队协作办案，办案质量逐年提高（2分）。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听取自评汇报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座谈会、查阅台帐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资料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走访相关单位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（2）在开展业务中遵守法律、法规、规章和行业规范的情况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（1）律师事务所严格执行统一收案统一收费制度，一案一审批，一案一建档（5分）；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（2）委托代理合同规范明确(3分)，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（3）履行会员义务，自觉参加律协组织的各项活动(4分)。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（3）指导和监督律师代理重大案件、群体性案件的情况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接受重大、群体性案件委托，</w:t>
            </w:r>
            <w:r>
              <w:rPr>
                <w:rFonts w:hint="eastAsia" w:ascii="仿宋_GB2312" w:eastAsia="仿宋_GB2312"/>
                <w:sz w:val="24"/>
              </w:rPr>
              <w:t>律师事务所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按要求及时报告，进行</w:t>
            </w:r>
            <w:r>
              <w:rPr>
                <w:rFonts w:hint="eastAsia" w:ascii="仿宋_GB2312" w:eastAsia="仿宋_GB2312"/>
                <w:sz w:val="24"/>
              </w:rPr>
              <w:t>集体研究讨论，指导办案律师办理，并做好书面记录工作(2分)；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（2）坚持保密制度，确立责任追究制度（2分）。</w:t>
            </w:r>
          </w:p>
          <w:p>
            <w:pPr>
              <w:spacing w:line="38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（4）对律师执业实施监督和投诉查处的情况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（1）所内有专人负责投诉处理（3分）；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（2）及时查处本所律师违纪违规问题（4分）。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（5）履行法律援助义务、参加社会服务及其他社会公益活动的情况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接受司法行政机关法律援助机构指派，妥善安排律师及时办理法律援助案件，组织律师积极参加社会服务、社会公益活动（3分）。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三、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律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（1）律师在执业活动中遵守法律、法规和规章，遵守职业道德、执业纪律和执业行为规范的情况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（1）律师在执业活动中遵守职业道德、执业纪律（3分）；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（2）律师业务档案齐备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（2分）。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听取自评汇报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座谈会、查阅台帐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资料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走访相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关单位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（2）律师履行法律援助义务、参加社会服务及其他社会公益活动的情况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10"/>
                <w:sz w:val="24"/>
              </w:rPr>
              <w:t>认真履行法律援助义务，完成法律援助机构指派的法律援助案件，</w:t>
            </w:r>
            <w:r>
              <w:rPr>
                <w:rFonts w:hint="eastAsia" w:ascii="仿宋_GB2312" w:eastAsia="仿宋_GB2312"/>
                <w:sz w:val="24"/>
              </w:rPr>
              <w:t>积极参加法律服务及其他公益活动（2分）。</w:t>
            </w: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spacing w:val="10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spacing w:val="10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spacing w:val="1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spacing w:val="1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spacing w:val="10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spacing w:val="10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（3）律师受行政奖惩、行业奖惩的情况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（1）律师受行政、行业奖励的分别加1—5分；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（2）律师受行政、行业处罚的分别扣5、4分。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（4）律师执业年度考核情况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全所律师达到律协年度考核“基本称职”以上等次（3分）。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（1）执业管理制度建立和实施的情况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（1）建立律师事务所执业年度考评制度（1分）；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（2）有专人负责（1分）。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听取自评汇报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座谈会、查阅台帐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资料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走访相</w:t>
            </w:r>
          </w:p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关单位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（2）收费管理、 财务管理和分配管理制度建立和实施的情况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（1）建立统一收案收费与财务管理制度（1分）；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（2）建立合理的分配制度（1分）；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（3）有专职财务人员（1分）；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（4）与全体聘用律师及其他人员依法签订劳动合同(1分)；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（5）按规定为聘用人员办理失业、医疗、养老等社会保险(1分)。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（3）依法纳税的情况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出具律师事务所和律师纳税凭证（2分）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（4）建立执业风险、事业发展等基金及其使用的情况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（1）建立执业风险、事业发展基金制度（1分）；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（2）按照规定提留事业发展、执业风险、员工福利和培训基金（2分）。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（5）管理聘用律师和辅助人员的情况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（1）建立聘用人员管理制度</w:t>
            </w:r>
            <w:r>
              <w:rPr>
                <w:rFonts w:hint="eastAsia" w:ascii="仿宋_GB2312" w:eastAsia="仿宋_GB2312"/>
                <w:sz w:val="24"/>
              </w:rPr>
              <w:t>、辅助人员管理制度（1分）；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（2）有日常管理的相关记录或证明材料（1分）。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（6）管理分支机构的情况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对设立的分支机构有专人负责管理，台帐健全（1分）。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（7）管理申请律师执业人员实习的情况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（1）建立实习人员管理制度（1分）；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（2）有日常管理的相关记录或证明材料（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1分</w:t>
            </w:r>
            <w:r>
              <w:rPr>
                <w:rFonts w:hint="eastAsia" w:ascii="仿宋_GB2312" w:eastAsia="仿宋_GB2312"/>
                <w:sz w:val="24"/>
              </w:rPr>
              <w:t>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有专人指导实习人员，实习人员行为规范（1分）。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（8）业务档案、律师执业档案建立和管理的情况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（1）建立档案管理制度（1分）；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（2）各类台帐健全，业务档案归档及时，装订规范，能反映收案审批、风险告知、收案谈话、统一收费、服务质量监督和质量评查等制度的落实情况（3分）；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有档案室和档案柜，有专人管理业务档案，立卷规范，业务档案归档及时(2分)。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（9）章程、合伙制度实施的情况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6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（1）律师事务所章程、合伙协议合法，并按规定修改(2分)；（2）管理人责任、分工明确；会议制度健全，议事规则完备(2分)；定期召开会议，研究决定所内重大事务(1分)；会议记录完整(1分)。</w:t>
            </w: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A1D76"/>
    <w:rsid w:val="72DA1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2019-01-18T06:25:00Z</dcterms:created>
  <dc:creator>YingNa</dc:creator>
  <cp:lastModifiedBy>YingNa</cp:lastModifiedBy>
  <dcterms:modified xsi:type="dcterms:W3CDTF">2019-01-18T06:25:48Z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