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20" w:lineRule="exact"/>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附件:</w:t>
      </w:r>
      <w:bookmarkStart w:id="0" w:name="_GoBack"/>
      <w:bookmarkEnd w:id="0"/>
      <w:r>
        <w:rPr>
          <w:rFonts w:hint="eastAsia" w:ascii="Times New Roman" w:hAnsi="Times New Roman" w:eastAsia="仿宋_GB2312" w:cs="Times New Roman"/>
          <w:sz w:val="32"/>
          <w:szCs w:val="32"/>
          <w:lang w:val="en-US" w:eastAsia="zh-CN"/>
        </w:rPr>
        <w:t>4</w:t>
      </w:r>
    </w:p>
    <w:p>
      <w:pPr>
        <w:jc w:val="center"/>
        <w:rPr>
          <w:rFonts w:hint="eastAsia"/>
          <w:sz w:val="32"/>
          <w:szCs w:val="32"/>
        </w:rPr>
      </w:pPr>
      <w:r>
        <w:rPr>
          <w:rFonts w:hint="eastAsia"/>
          <w:sz w:val="32"/>
          <w:szCs w:val="32"/>
        </w:rPr>
        <w:t>政府采购合同资金逾期未支付情况表（采购人填写）</w:t>
      </w:r>
    </w:p>
    <w:p>
      <w:pPr>
        <w:rPr>
          <w:rFonts w:hint="eastAsia"/>
        </w:rPr>
      </w:pPr>
    </w:p>
    <w:p>
      <w:pPr>
        <w:jc w:val="both"/>
        <w:rPr>
          <w:rFonts w:hint="eastAsia"/>
        </w:rPr>
      </w:pPr>
      <w:r>
        <w:rPr>
          <w:rFonts w:hint="eastAsia"/>
        </w:rPr>
        <w:t xml:space="preserve">采购单位：                               </w:t>
      </w:r>
      <w:r>
        <w:rPr>
          <w:rFonts w:hint="eastAsia"/>
          <w:lang w:val="en-US" w:eastAsia="zh-CN"/>
        </w:rPr>
        <w:t xml:space="preserve">         </w:t>
      </w:r>
      <w:r>
        <w:rPr>
          <w:rFonts w:hint="eastAsia"/>
        </w:rPr>
        <w:t>填报日期：    年   月   日                                        金额单位：万元</w:t>
      </w:r>
    </w:p>
    <w:p>
      <w:pPr>
        <w:jc w:val="both"/>
        <w:rPr>
          <w:rFonts w:hint="eastAsia"/>
        </w:rPr>
      </w:pPr>
    </w:p>
    <w:tbl>
      <w:tblPr>
        <w:tblStyle w:val="2"/>
        <w:tblW w:w="14400"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440"/>
        <w:gridCol w:w="900"/>
        <w:gridCol w:w="720"/>
        <w:gridCol w:w="720"/>
        <w:gridCol w:w="1260"/>
        <w:gridCol w:w="720"/>
        <w:gridCol w:w="1440"/>
        <w:gridCol w:w="720"/>
        <w:gridCol w:w="720"/>
        <w:gridCol w:w="720"/>
        <w:gridCol w:w="720"/>
        <w:gridCol w:w="720"/>
        <w:gridCol w:w="720"/>
        <w:gridCol w:w="720"/>
        <w:gridCol w:w="720"/>
        <w:gridCol w:w="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trPr>
        <w:tc>
          <w:tcPr>
            <w:tcW w:w="540" w:type="dxa"/>
            <w:vMerge w:val="restart"/>
            <w:noWrap w:val="0"/>
            <w:vAlign w:val="center"/>
          </w:tcPr>
          <w:p>
            <w:pPr>
              <w:jc w:val="center"/>
              <w:rPr>
                <w:rFonts w:hint="eastAsia"/>
                <w:sz w:val="18"/>
                <w:szCs w:val="18"/>
              </w:rPr>
            </w:pPr>
            <w:r>
              <w:rPr>
                <w:rFonts w:hint="eastAsia"/>
                <w:sz w:val="18"/>
                <w:szCs w:val="18"/>
              </w:rPr>
              <w:t>序号</w:t>
            </w:r>
          </w:p>
        </w:tc>
        <w:tc>
          <w:tcPr>
            <w:tcW w:w="7200" w:type="dxa"/>
            <w:gridSpan w:val="7"/>
            <w:noWrap w:val="0"/>
            <w:vAlign w:val="center"/>
          </w:tcPr>
          <w:p>
            <w:pPr>
              <w:jc w:val="center"/>
              <w:rPr>
                <w:rFonts w:hint="eastAsia"/>
                <w:sz w:val="18"/>
                <w:szCs w:val="18"/>
              </w:rPr>
            </w:pPr>
            <w:r>
              <w:rPr>
                <w:rFonts w:hint="eastAsia"/>
                <w:sz w:val="18"/>
                <w:szCs w:val="18"/>
              </w:rPr>
              <w:t>项目基本情况</w:t>
            </w:r>
          </w:p>
        </w:tc>
        <w:tc>
          <w:tcPr>
            <w:tcW w:w="2880" w:type="dxa"/>
            <w:gridSpan w:val="4"/>
            <w:noWrap w:val="0"/>
            <w:vAlign w:val="center"/>
          </w:tcPr>
          <w:p>
            <w:pPr>
              <w:jc w:val="center"/>
              <w:rPr>
                <w:rFonts w:hint="eastAsia"/>
                <w:sz w:val="18"/>
                <w:szCs w:val="18"/>
              </w:rPr>
            </w:pPr>
            <w:r>
              <w:rPr>
                <w:rFonts w:hint="eastAsia"/>
                <w:sz w:val="18"/>
                <w:szCs w:val="18"/>
              </w:rPr>
              <w:t>合同情况</w:t>
            </w:r>
          </w:p>
        </w:tc>
        <w:tc>
          <w:tcPr>
            <w:tcW w:w="3780" w:type="dxa"/>
            <w:gridSpan w:val="5"/>
            <w:noWrap w:val="0"/>
            <w:vAlign w:val="center"/>
          </w:tcPr>
          <w:p>
            <w:pPr>
              <w:jc w:val="center"/>
              <w:rPr>
                <w:rFonts w:hint="eastAsia"/>
                <w:sz w:val="18"/>
                <w:szCs w:val="18"/>
              </w:rPr>
            </w:pPr>
            <w:r>
              <w:rPr>
                <w:rFonts w:hint="eastAsia"/>
                <w:sz w:val="18"/>
                <w:szCs w:val="18"/>
              </w:rPr>
              <w:t>资金支付情况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1" w:hRule="atLeast"/>
        </w:trPr>
        <w:tc>
          <w:tcPr>
            <w:tcW w:w="540" w:type="dxa"/>
            <w:vMerge w:val="continue"/>
            <w:noWrap w:val="0"/>
            <w:vAlign w:val="center"/>
          </w:tcPr>
          <w:p>
            <w:pPr>
              <w:jc w:val="center"/>
              <w:rPr>
                <w:rFonts w:hint="eastAsia"/>
                <w:sz w:val="18"/>
                <w:szCs w:val="18"/>
              </w:rPr>
            </w:pPr>
          </w:p>
        </w:tc>
        <w:tc>
          <w:tcPr>
            <w:tcW w:w="1440" w:type="dxa"/>
            <w:vMerge w:val="restart"/>
            <w:noWrap w:val="0"/>
            <w:vAlign w:val="center"/>
          </w:tcPr>
          <w:p>
            <w:pPr>
              <w:jc w:val="center"/>
              <w:rPr>
                <w:rFonts w:hint="eastAsia"/>
                <w:sz w:val="18"/>
                <w:szCs w:val="18"/>
              </w:rPr>
            </w:pPr>
            <w:r>
              <w:rPr>
                <w:rFonts w:hint="eastAsia"/>
                <w:sz w:val="18"/>
                <w:szCs w:val="18"/>
              </w:rPr>
              <w:t>项目名称</w:t>
            </w:r>
          </w:p>
        </w:tc>
        <w:tc>
          <w:tcPr>
            <w:tcW w:w="900" w:type="dxa"/>
            <w:vMerge w:val="restart"/>
            <w:noWrap w:val="0"/>
            <w:vAlign w:val="center"/>
          </w:tcPr>
          <w:p>
            <w:pPr>
              <w:jc w:val="center"/>
              <w:rPr>
                <w:rFonts w:hint="eastAsia"/>
                <w:sz w:val="18"/>
                <w:szCs w:val="18"/>
              </w:rPr>
            </w:pPr>
            <w:r>
              <w:rPr>
                <w:rFonts w:hint="eastAsia"/>
                <w:sz w:val="18"/>
                <w:szCs w:val="18"/>
              </w:rPr>
              <w:t>项目编号</w:t>
            </w:r>
          </w:p>
        </w:tc>
        <w:tc>
          <w:tcPr>
            <w:tcW w:w="1440" w:type="dxa"/>
            <w:gridSpan w:val="2"/>
            <w:noWrap w:val="0"/>
            <w:vAlign w:val="center"/>
          </w:tcPr>
          <w:p>
            <w:pPr>
              <w:jc w:val="center"/>
              <w:rPr>
                <w:rFonts w:hint="eastAsia"/>
                <w:sz w:val="18"/>
                <w:szCs w:val="18"/>
              </w:rPr>
            </w:pPr>
            <w:r>
              <w:rPr>
                <w:rFonts w:hint="eastAsia"/>
                <w:sz w:val="18"/>
                <w:szCs w:val="18"/>
              </w:rPr>
              <w:t>项目预算</w:t>
            </w:r>
          </w:p>
        </w:tc>
        <w:tc>
          <w:tcPr>
            <w:tcW w:w="1260" w:type="dxa"/>
            <w:vMerge w:val="restart"/>
            <w:noWrap w:val="0"/>
            <w:vAlign w:val="center"/>
          </w:tcPr>
          <w:p>
            <w:pPr>
              <w:jc w:val="center"/>
              <w:rPr>
                <w:rFonts w:hint="eastAsia"/>
                <w:sz w:val="18"/>
                <w:szCs w:val="18"/>
              </w:rPr>
            </w:pPr>
            <w:r>
              <w:rPr>
                <w:rFonts w:hint="eastAsia"/>
                <w:sz w:val="18"/>
                <w:szCs w:val="18"/>
              </w:rPr>
              <w:t>中标成交供应商名称</w:t>
            </w:r>
          </w:p>
        </w:tc>
        <w:tc>
          <w:tcPr>
            <w:tcW w:w="720" w:type="dxa"/>
            <w:vMerge w:val="restart"/>
            <w:noWrap w:val="0"/>
            <w:vAlign w:val="center"/>
          </w:tcPr>
          <w:p>
            <w:pPr>
              <w:jc w:val="center"/>
              <w:rPr>
                <w:rFonts w:hint="eastAsia"/>
                <w:sz w:val="18"/>
                <w:szCs w:val="18"/>
              </w:rPr>
            </w:pPr>
            <w:r>
              <w:rPr>
                <w:rFonts w:hint="eastAsia"/>
                <w:sz w:val="18"/>
                <w:szCs w:val="18"/>
              </w:rPr>
              <w:t>中标成交金额</w:t>
            </w:r>
          </w:p>
        </w:tc>
        <w:tc>
          <w:tcPr>
            <w:tcW w:w="1440" w:type="dxa"/>
            <w:vMerge w:val="restart"/>
            <w:noWrap w:val="0"/>
            <w:vAlign w:val="center"/>
          </w:tcPr>
          <w:p>
            <w:pPr>
              <w:jc w:val="center"/>
              <w:rPr>
                <w:rFonts w:hint="eastAsia"/>
                <w:sz w:val="18"/>
                <w:szCs w:val="18"/>
              </w:rPr>
            </w:pPr>
            <w:r>
              <w:rPr>
                <w:rFonts w:hint="eastAsia"/>
                <w:sz w:val="18"/>
                <w:szCs w:val="18"/>
              </w:rPr>
              <w:t>中标成交公告及中标成交通知书发布日期</w:t>
            </w:r>
          </w:p>
        </w:tc>
        <w:tc>
          <w:tcPr>
            <w:tcW w:w="720" w:type="dxa"/>
            <w:vMerge w:val="restart"/>
            <w:noWrap w:val="0"/>
            <w:vAlign w:val="center"/>
          </w:tcPr>
          <w:p>
            <w:pPr>
              <w:jc w:val="center"/>
              <w:rPr>
                <w:rFonts w:hint="eastAsia"/>
                <w:sz w:val="18"/>
                <w:szCs w:val="18"/>
              </w:rPr>
            </w:pPr>
            <w:r>
              <w:rPr>
                <w:rFonts w:hint="eastAsia"/>
                <w:sz w:val="18"/>
                <w:szCs w:val="18"/>
              </w:rPr>
              <w:t>合同签订日期</w:t>
            </w:r>
          </w:p>
        </w:tc>
        <w:tc>
          <w:tcPr>
            <w:tcW w:w="720" w:type="dxa"/>
            <w:vMerge w:val="restart"/>
            <w:noWrap w:val="0"/>
            <w:vAlign w:val="center"/>
          </w:tcPr>
          <w:p>
            <w:pPr>
              <w:jc w:val="center"/>
              <w:rPr>
                <w:rFonts w:hint="eastAsia"/>
                <w:sz w:val="18"/>
                <w:szCs w:val="18"/>
              </w:rPr>
            </w:pPr>
            <w:r>
              <w:rPr>
                <w:rFonts w:hint="eastAsia"/>
                <w:sz w:val="18"/>
                <w:szCs w:val="18"/>
              </w:rPr>
              <w:t>合同金额</w:t>
            </w:r>
          </w:p>
        </w:tc>
        <w:tc>
          <w:tcPr>
            <w:tcW w:w="720" w:type="dxa"/>
            <w:vMerge w:val="restart"/>
            <w:noWrap w:val="0"/>
            <w:vAlign w:val="center"/>
          </w:tcPr>
          <w:p>
            <w:pPr>
              <w:jc w:val="center"/>
              <w:rPr>
                <w:rFonts w:hint="eastAsia"/>
                <w:sz w:val="18"/>
                <w:szCs w:val="18"/>
              </w:rPr>
            </w:pPr>
            <w:r>
              <w:rPr>
                <w:rFonts w:hint="eastAsia"/>
                <w:sz w:val="18"/>
                <w:szCs w:val="18"/>
              </w:rPr>
              <w:t>合同公告日期</w:t>
            </w:r>
          </w:p>
        </w:tc>
        <w:tc>
          <w:tcPr>
            <w:tcW w:w="720" w:type="dxa"/>
            <w:vMerge w:val="restart"/>
            <w:noWrap w:val="0"/>
            <w:vAlign w:val="center"/>
          </w:tcPr>
          <w:p>
            <w:pPr>
              <w:jc w:val="center"/>
              <w:rPr>
                <w:rFonts w:hint="eastAsia"/>
                <w:sz w:val="18"/>
                <w:szCs w:val="18"/>
              </w:rPr>
            </w:pPr>
            <w:r>
              <w:rPr>
                <w:rFonts w:hint="eastAsia"/>
                <w:sz w:val="18"/>
                <w:szCs w:val="18"/>
              </w:rPr>
              <w:t>合同备案日期</w:t>
            </w:r>
          </w:p>
        </w:tc>
        <w:tc>
          <w:tcPr>
            <w:tcW w:w="1440" w:type="dxa"/>
            <w:gridSpan w:val="2"/>
            <w:noWrap w:val="0"/>
            <w:vAlign w:val="center"/>
          </w:tcPr>
          <w:p>
            <w:pPr>
              <w:jc w:val="center"/>
              <w:rPr>
                <w:rFonts w:hint="eastAsia"/>
                <w:sz w:val="18"/>
                <w:szCs w:val="18"/>
              </w:rPr>
            </w:pPr>
            <w:r>
              <w:rPr>
                <w:rFonts w:hint="eastAsia"/>
                <w:sz w:val="18"/>
                <w:szCs w:val="18"/>
              </w:rPr>
              <w:t>支付方式</w:t>
            </w:r>
          </w:p>
        </w:tc>
        <w:tc>
          <w:tcPr>
            <w:tcW w:w="1440" w:type="dxa"/>
            <w:gridSpan w:val="2"/>
            <w:noWrap w:val="0"/>
            <w:vAlign w:val="center"/>
          </w:tcPr>
          <w:p>
            <w:pPr>
              <w:jc w:val="center"/>
              <w:rPr>
                <w:rFonts w:hint="eastAsia"/>
                <w:sz w:val="18"/>
                <w:szCs w:val="18"/>
              </w:rPr>
            </w:pPr>
            <w:r>
              <w:rPr>
                <w:rFonts w:hint="eastAsia"/>
                <w:sz w:val="18"/>
                <w:szCs w:val="18"/>
              </w:rPr>
              <w:t>支付进度</w:t>
            </w:r>
          </w:p>
        </w:tc>
        <w:tc>
          <w:tcPr>
            <w:tcW w:w="900" w:type="dxa"/>
            <w:vMerge w:val="restart"/>
            <w:noWrap w:val="0"/>
            <w:vAlign w:val="center"/>
          </w:tcPr>
          <w:p>
            <w:pPr>
              <w:jc w:val="center"/>
              <w:rPr>
                <w:rFonts w:hint="eastAsia"/>
                <w:sz w:val="18"/>
                <w:szCs w:val="18"/>
              </w:rPr>
            </w:pPr>
            <w:r>
              <w:rPr>
                <w:rFonts w:hint="eastAsia"/>
                <w:sz w:val="18"/>
                <w:szCs w:val="18"/>
              </w:rPr>
              <w:t>逾期未支付金额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0" w:hRule="atLeast"/>
        </w:trPr>
        <w:tc>
          <w:tcPr>
            <w:tcW w:w="540" w:type="dxa"/>
            <w:vMerge w:val="continue"/>
            <w:noWrap w:val="0"/>
            <w:vAlign w:val="center"/>
          </w:tcPr>
          <w:p>
            <w:pPr>
              <w:jc w:val="center"/>
              <w:rPr>
                <w:rFonts w:hint="eastAsia"/>
                <w:sz w:val="18"/>
                <w:szCs w:val="18"/>
              </w:rPr>
            </w:pPr>
          </w:p>
        </w:tc>
        <w:tc>
          <w:tcPr>
            <w:tcW w:w="1440" w:type="dxa"/>
            <w:vMerge w:val="continue"/>
            <w:noWrap w:val="0"/>
            <w:vAlign w:val="center"/>
          </w:tcPr>
          <w:p>
            <w:pPr>
              <w:jc w:val="center"/>
              <w:rPr>
                <w:rFonts w:hint="eastAsia"/>
                <w:sz w:val="18"/>
                <w:szCs w:val="18"/>
              </w:rPr>
            </w:pPr>
          </w:p>
        </w:tc>
        <w:tc>
          <w:tcPr>
            <w:tcW w:w="900" w:type="dxa"/>
            <w:vMerge w:val="continue"/>
            <w:noWrap w:val="0"/>
            <w:vAlign w:val="center"/>
          </w:tcPr>
          <w:p>
            <w:pPr>
              <w:jc w:val="center"/>
              <w:rPr>
                <w:rFonts w:hint="eastAsia"/>
                <w:sz w:val="18"/>
                <w:szCs w:val="18"/>
              </w:rPr>
            </w:pPr>
          </w:p>
        </w:tc>
        <w:tc>
          <w:tcPr>
            <w:tcW w:w="720" w:type="dxa"/>
            <w:noWrap w:val="0"/>
            <w:vAlign w:val="center"/>
          </w:tcPr>
          <w:p>
            <w:pPr>
              <w:jc w:val="center"/>
              <w:rPr>
                <w:rFonts w:hint="eastAsia"/>
                <w:sz w:val="18"/>
                <w:szCs w:val="18"/>
              </w:rPr>
            </w:pPr>
            <w:r>
              <w:rPr>
                <w:rFonts w:hint="eastAsia"/>
                <w:sz w:val="18"/>
                <w:szCs w:val="18"/>
              </w:rPr>
              <w:t>财政性资金</w:t>
            </w:r>
          </w:p>
        </w:tc>
        <w:tc>
          <w:tcPr>
            <w:tcW w:w="720" w:type="dxa"/>
            <w:noWrap w:val="0"/>
            <w:vAlign w:val="center"/>
          </w:tcPr>
          <w:p>
            <w:pPr>
              <w:jc w:val="center"/>
              <w:rPr>
                <w:rFonts w:hint="eastAsia"/>
                <w:sz w:val="18"/>
                <w:szCs w:val="18"/>
              </w:rPr>
            </w:pPr>
            <w:r>
              <w:rPr>
                <w:rFonts w:hint="eastAsia"/>
                <w:sz w:val="18"/>
                <w:szCs w:val="18"/>
              </w:rPr>
              <w:t>其它资金</w:t>
            </w:r>
          </w:p>
        </w:tc>
        <w:tc>
          <w:tcPr>
            <w:tcW w:w="1260" w:type="dxa"/>
            <w:vMerge w:val="continue"/>
            <w:noWrap w:val="0"/>
            <w:vAlign w:val="center"/>
          </w:tcPr>
          <w:p>
            <w:pPr>
              <w:jc w:val="center"/>
              <w:rPr>
                <w:rFonts w:hint="eastAsia"/>
                <w:sz w:val="18"/>
                <w:szCs w:val="18"/>
              </w:rPr>
            </w:pPr>
          </w:p>
        </w:tc>
        <w:tc>
          <w:tcPr>
            <w:tcW w:w="720" w:type="dxa"/>
            <w:vMerge w:val="continue"/>
            <w:noWrap w:val="0"/>
            <w:vAlign w:val="center"/>
          </w:tcPr>
          <w:p>
            <w:pPr>
              <w:jc w:val="center"/>
              <w:rPr>
                <w:rFonts w:hint="eastAsia"/>
                <w:sz w:val="18"/>
                <w:szCs w:val="18"/>
              </w:rPr>
            </w:pPr>
          </w:p>
        </w:tc>
        <w:tc>
          <w:tcPr>
            <w:tcW w:w="1440" w:type="dxa"/>
            <w:vMerge w:val="continue"/>
            <w:noWrap w:val="0"/>
            <w:vAlign w:val="center"/>
          </w:tcPr>
          <w:p>
            <w:pPr>
              <w:jc w:val="center"/>
              <w:rPr>
                <w:rFonts w:hint="eastAsia"/>
                <w:sz w:val="18"/>
                <w:szCs w:val="18"/>
              </w:rPr>
            </w:pPr>
          </w:p>
        </w:tc>
        <w:tc>
          <w:tcPr>
            <w:tcW w:w="720" w:type="dxa"/>
            <w:vMerge w:val="continue"/>
            <w:noWrap w:val="0"/>
            <w:vAlign w:val="center"/>
          </w:tcPr>
          <w:p>
            <w:pPr>
              <w:jc w:val="center"/>
              <w:rPr>
                <w:rFonts w:hint="eastAsia"/>
                <w:sz w:val="18"/>
                <w:szCs w:val="18"/>
              </w:rPr>
            </w:pPr>
          </w:p>
        </w:tc>
        <w:tc>
          <w:tcPr>
            <w:tcW w:w="720" w:type="dxa"/>
            <w:vMerge w:val="continue"/>
            <w:noWrap w:val="0"/>
            <w:vAlign w:val="center"/>
          </w:tcPr>
          <w:p>
            <w:pPr>
              <w:jc w:val="center"/>
              <w:rPr>
                <w:rFonts w:hint="eastAsia"/>
                <w:sz w:val="18"/>
                <w:szCs w:val="18"/>
              </w:rPr>
            </w:pPr>
          </w:p>
        </w:tc>
        <w:tc>
          <w:tcPr>
            <w:tcW w:w="720" w:type="dxa"/>
            <w:vMerge w:val="continue"/>
            <w:noWrap w:val="0"/>
            <w:vAlign w:val="center"/>
          </w:tcPr>
          <w:p>
            <w:pPr>
              <w:jc w:val="center"/>
              <w:rPr>
                <w:rFonts w:hint="eastAsia"/>
                <w:sz w:val="18"/>
                <w:szCs w:val="18"/>
              </w:rPr>
            </w:pPr>
          </w:p>
        </w:tc>
        <w:tc>
          <w:tcPr>
            <w:tcW w:w="720" w:type="dxa"/>
            <w:vMerge w:val="continue"/>
            <w:noWrap w:val="0"/>
            <w:vAlign w:val="center"/>
          </w:tcPr>
          <w:p>
            <w:pPr>
              <w:jc w:val="center"/>
              <w:rPr>
                <w:rFonts w:hint="eastAsia"/>
                <w:sz w:val="18"/>
                <w:szCs w:val="18"/>
              </w:rPr>
            </w:pPr>
          </w:p>
        </w:tc>
        <w:tc>
          <w:tcPr>
            <w:tcW w:w="720" w:type="dxa"/>
            <w:noWrap w:val="0"/>
            <w:vAlign w:val="center"/>
          </w:tcPr>
          <w:p>
            <w:pPr>
              <w:jc w:val="center"/>
              <w:rPr>
                <w:rFonts w:hint="eastAsia"/>
                <w:sz w:val="18"/>
                <w:szCs w:val="18"/>
              </w:rPr>
            </w:pPr>
            <w:r>
              <w:rPr>
                <w:rFonts w:hint="eastAsia"/>
                <w:sz w:val="18"/>
                <w:szCs w:val="18"/>
              </w:rPr>
              <w:t>国库集中支付</w:t>
            </w:r>
          </w:p>
        </w:tc>
        <w:tc>
          <w:tcPr>
            <w:tcW w:w="720" w:type="dxa"/>
            <w:noWrap w:val="0"/>
            <w:vAlign w:val="center"/>
          </w:tcPr>
          <w:p>
            <w:pPr>
              <w:jc w:val="center"/>
              <w:rPr>
                <w:rFonts w:hint="eastAsia"/>
                <w:sz w:val="18"/>
                <w:szCs w:val="18"/>
              </w:rPr>
            </w:pPr>
            <w:r>
              <w:rPr>
                <w:rFonts w:hint="eastAsia"/>
                <w:sz w:val="18"/>
                <w:szCs w:val="18"/>
              </w:rPr>
              <w:t>自行支付</w:t>
            </w:r>
          </w:p>
        </w:tc>
        <w:tc>
          <w:tcPr>
            <w:tcW w:w="720" w:type="dxa"/>
            <w:noWrap w:val="0"/>
            <w:vAlign w:val="center"/>
          </w:tcPr>
          <w:p>
            <w:pPr>
              <w:jc w:val="center"/>
              <w:rPr>
                <w:rFonts w:hint="eastAsia"/>
                <w:sz w:val="18"/>
                <w:szCs w:val="18"/>
              </w:rPr>
            </w:pPr>
            <w:r>
              <w:rPr>
                <w:rFonts w:hint="eastAsia"/>
                <w:sz w:val="18"/>
                <w:szCs w:val="18"/>
              </w:rPr>
              <w:t>已支付金额</w:t>
            </w:r>
          </w:p>
        </w:tc>
        <w:tc>
          <w:tcPr>
            <w:tcW w:w="720" w:type="dxa"/>
            <w:noWrap w:val="0"/>
            <w:vAlign w:val="center"/>
          </w:tcPr>
          <w:p>
            <w:pPr>
              <w:jc w:val="center"/>
              <w:rPr>
                <w:rFonts w:hint="eastAsia"/>
                <w:sz w:val="18"/>
                <w:szCs w:val="18"/>
              </w:rPr>
            </w:pPr>
            <w:r>
              <w:rPr>
                <w:rFonts w:hint="eastAsia"/>
                <w:sz w:val="18"/>
                <w:szCs w:val="18"/>
              </w:rPr>
              <w:t>未支付金额</w:t>
            </w:r>
          </w:p>
        </w:tc>
        <w:tc>
          <w:tcPr>
            <w:tcW w:w="900" w:type="dxa"/>
            <w:vMerge w:val="continue"/>
            <w:noWrap w:val="0"/>
            <w:vAlign w:val="center"/>
          </w:tcPr>
          <w:p>
            <w:pPr>
              <w:jc w:val="center"/>
              <w:rPr>
                <w:rFonts w:hint="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40" w:type="dxa"/>
            <w:noWrap w:val="0"/>
            <w:vAlign w:val="top"/>
          </w:tcPr>
          <w:p>
            <w:pPr>
              <w:rPr>
                <w:rFonts w:hint="eastAsia"/>
                <w:sz w:val="18"/>
                <w:szCs w:val="18"/>
              </w:rPr>
            </w:pPr>
          </w:p>
        </w:tc>
        <w:tc>
          <w:tcPr>
            <w:tcW w:w="1440" w:type="dxa"/>
            <w:noWrap w:val="0"/>
            <w:vAlign w:val="top"/>
          </w:tcPr>
          <w:p>
            <w:pPr>
              <w:rPr>
                <w:rFonts w:hint="eastAsia"/>
                <w:sz w:val="18"/>
                <w:szCs w:val="18"/>
              </w:rPr>
            </w:pPr>
          </w:p>
        </w:tc>
        <w:tc>
          <w:tcPr>
            <w:tcW w:w="900" w:type="dxa"/>
            <w:noWrap w:val="0"/>
            <w:vAlign w:val="top"/>
          </w:tcPr>
          <w:p>
            <w:pPr>
              <w:rPr>
                <w:rFonts w:hint="eastAsia"/>
                <w:sz w:val="18"/>
                <w:szCs w:val="18"/>
              </w:rPr>
            </w:pPr>
          </w:p>
        </w:tc>
        <w:tc>
          <w:tcPr>
            <w:tcW w:w="720" w:type="dxa"/>
            <w:noWrap w:val="0"/>
            <w:vAlign w:val="top"/>
          </w:tcPr>
          <w:p>
            <w:pPr>
              <w:rPr>
                <w:rFonts w:hint="eastAsia"/>
                <w:sz w:val="18"/>
                <w:szCs w:val="18"/>
              </w:rPr>
            </w:pPr>
          </w:p>
        </w:tc>
        <w:tc>
          <w:tcPr>
            <w:tcW w:w="720" w:type="dxa"/>
            <w:noWrap w:val="0"/>
            <w:vAlign w:val="top"/>
          </w:tcPr>
          <w:p>
            <w:pPr>
              <w:rPr>
                <w:rFonts w:hint="eastAsia"/>
                <w:sz w:val="18"/>
                <w:szCs w:val="18"/>
              </w:rPr>
            </w:pPr>
          </w:p>
        </w:tc>
        <w:tc>
          <w:tcPr>
            <w:tcW w:w="1260" w:type="dxa"/>
            <w:noWrap w:val="0"/>
            <w:vAlign w:val="top"/>
          </w:tcPr>
          <w:p>
            <w:pPr>
              <w:rPr>
                <w:rFonts w:hint="eastAsia"/>
                <w:sz w:val="18"/>
                <w:szCs w:val="18"/>
              </w:rPr>
            </w:pPr>
          </w:p>
        </w:tc>
        <w:tc>
          <w:tcPr>
            <w:tcW w:w="720" w:type="dxa"/>
            <w:noWrap w:val="0"/>
            <w:vAlign w:val="top"/>
          </w:tcPr>
          <w:p>
            <w:pPr>
              <w:rPr>
                <w:rFonts w:hint="eastAsia"/>
                <w:sz w:val="18"/>
                <w:szCs w:val="18"/>
              </w:rPr>
            </w:pPr>
          </w:p>
        </w:tc>
        <w:tc>
          <w:tcPr>
            <w:tcW w:w="1440" w:type="dxa"/>
            <w:noWrap w:val="0"/>
            <w:vAlign w:val="top"/>
          </w:tcPr>
          <w:p>
            <w:pPr>
              <w:rPr>
                <w:rFonts w:hint="eastAsia"/>
                <w:sz w:val="18"/>
                <w:szCs w:val="18"/>
              </w:rPr>
            </w:pPr>
          </w:p>
        </w:tc>
        <w:tc>
          <w:tcPr>
            <w:tcW w:w="720" w:type="dxa"/>
            <w:noWrap w:val="0"/>
            <w:vAlign w:val="top"/>
          </w:tcPr>
          <w:p>
            <w:pPr>
              <w:rPr>
                <w:rFonts w:hint="eastAsia"/>
                <w:sz w:val="18"/>
                <w:szCs w:val="18"/>
              </w:rPr>
            </w:pPr>
          </w:p>
        </w:tc>
        <w:tc>
          <w:tcPr>
            <w:tcW w:w="720" w:type="dxa"/>
            <w:noWrap w:val="0"/>
            <w:vAlign w:val="top"/>
          </w:tcPr>
          <w:p>
            <w:pPr>
              <w:rPr>
                <w:rFonts w:hint="eastAsia"/>
                <w:sz w:val="18"/>
                <w:szCs w:val="18"/>
              </w:rPr>
            </w:pPr>
          </w:p>
        </w:tc>
        <w:tc>
          <w:tcPr>
            <w:tcW w:w="720" w:type="dxa"/>
            <w:noWrap w:val="0"/>
            <w:vAlign w:val="top"/>
          </w:tcPr>
          <w:p>
            <w:pPr>
              <w:rPr>
                <w:rFonts w:hint="eastAsia"/>
                <w:sz w:val="18"/>
                <w:szCs w:val="18"/>
              </w:rPr>
            </w:pPr>
          </w:p>
        </w:tc>
        <w:tc>
          <w:tcPr>
            <w:tcW w:w="720" w:type="dxa"/>
            <w:noWrap w:val="0"/>
            <w:vAlign w:val="top"/>
          </w:tcPr>
          <w:p>
            <w:pPr>
              <w:jc w:val="center"/>
              <w:rPr>
                <w:rFonts w:hint="eastAsia"/>
                <w:sz w:val="18"/>
                <w:szCs w:val="18"/>
              </w:rPr>
            </w:pPr>
          </w:p>
        </w:tc>
        <w:tc>
          <w:tcPr>
            <w:tcW w:w="720" w:type="dxa"/>
            <w:noWrap w:val="0"/>
            <w:vAlign w:val="center"/>
          </w:tcPr>
          <w:p>
            <w:pPr>
              <w:jc w:val="center"/>
              <w:rPr>
                <w:rFonts w:hint="eastAsia"/>
                <w:sz w:val="18"/>
                <w:szCs w:val="18"/>
              </w:rPr>
            </w:pPr>
          </w:p>
        </w:tc>
        <w:tc>
          <w:tcPr>
            <w:tcW w:w="720" w:type="dxa"/>
            <w:noWrap w:val="0"/>
            <w:vAlign w:val="center"/>
          </w:tcPr>
          <w:p>
            <w:pPr>
              <w:jc w:val="center"/>
              <w:rPr>
                <w:rFonts w:hint="eastAsia"/>
                <w:sz w:val="18"/>
                <w:szCs w:val="18"/>
              </w:rPr>
            </w:pPr>
          </w:p>
        </w:tc>
        <w:tc>
          <w:tcPr>
            <w:tcW w:w="720" w:type="dxa"/>
            <w:noWrap w:val="0"/>
            <w:vAlign w:val="center"/>
          </w:tcPr>
          <w:p>
            <w:pPr>
              <w:jc w:val="center"/>
              <w:rPr>
                <w:rFonts w:hint="eastAsia"/>
                <w:sz w:val="18"/>
                <w:szCs w:val="18"/>
              </w:rPr>
            </w:pPr>
          </w:p>
        </w:tc>
        <w:tc>
          <w:tcPr>
            <w:tcW w:w="720" w:type="dxa"/>
            <w:noWrap w:val="0"/>
            <w:vAlign w:val="center"/>
          </w:tcPr>
          <w:p>
            <w:pPr>
              <w:jc w:val="center"/>
              <w:rPr>
                <w:rFonts w:hint="eastAsia"/>
                <w:sz w:val="18"/>
                <w:szCs w:val="18"/>
              </w:rPr>
            </w:pPr>
          </w:p>
        </w:tc>
        <w:tc>
          <w:tcPr>
            <w:tcW w:w="900" w:type="dxa"/>
            <w:noWrap w:val="0"/>
            <w:vAlign w:val="center"/>
          </w:tcPr>
          <w:p>
            <w:pPr>
              <w:jc w:val="center"/>
              <w:rPr>
                <w:rFonts w:hint="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40" w:type="dxa"/>
            <w:noWrap w:val="0"/>
            <w:vAlign w:val="top"/>
          </w:tcPr>
          <w:p>
            <w:pPr>
              <w:rPr>
                <w:rFonts w:hint="eastAsia"/>
              </w:rPr>
            </w:pPr>
          </w:p>
        </w:tc>
        <w:tc>
          <w:tcPr>
            <w:tcW w:w="1440" w:type="dxa"/>
            <w:noWrap w:val="0"/>
            <w:vAlign w:val="top"/>
          </w:tcPr>
          <w:p>
            <w:pPr>
              <w:rPr>
                <w:rFonts w:hint="eastAsia"/>
              </w:rPr>
            </w:pPr>
          </w:p>
        </w:tc>
        <w:tc>
          <w:tcPr>
            <w:tcW w:w="900" w:type="dxa"/>
            <w:noWrap w:val="0"/>
            <w:vAlign w:val="top"/>
          </w:tcPr>
          <w:p>
            <w:pPr>
              <w:rPr>
                <w:rFonts w:hint="eastAsia"/>
              </w:rPr>
            </w:pPr>
          </w:p>
        </w:tc>
        <w:tc>
          <w:tcPr>
            <w:tcW w:w="720" w:type="dxa"/>
            <w:noWrap w:val="0"/>
            <w:vAlign w:val="top"/>
          </w:tcPr>
          <w:p>
            <w:pPr>
              <w:rPr>
                <w:rFonts w:hint="eastAsia"/>
              </w:rPr>
            </w:pPr>
          </w:p>
        </w:tc>
        <w:tc>
          <w:tcPr>
            <w:tcW w:w="720" w:type="dxa"/>
            <w:noWrap w:val="0"/>
            <w:vAlign w:val="top"/>
          </w:tcPr>
          <w:p>
            <w:pPr>
              <w:rPr>
                <w:rFonts w:hint="eastAsia"/>
              </w:rPr>
            </w:pPr>
          </w:p>
        </w:tc>
        <w:tc>
          <w:tcPr>
            <w:tcW w:w="1260" w:type="dxa"/>
            <w:noWrap w:val="0"/>
            <w:vAlign w:val="top"/>
          </w:tcPr>
          <w:p>
            <w:pPr>
              <w:rPr>
                <w:rFonts w:hint="eastAsia"/>
              </w:rPr>
            </w:pPr>
          </w:p>
        </w:tc>
        <w:tc>
          <w:tcPr>
            <w:tcW w:w="720" w:type="dxa"/>
            <w:noWrap w:val="0"/>
            <w:vAlign w:val="top"/>
          </w:tcPr>
          <w:p>
            <w:pPr>
              <w:rPr>
                <w:rFonts w:hint="eastAsia"/>
              </w:rPr>
            </w:pPr>
          </w:p>
        </w:tc>
        <w:tc>
          <w:tcPr>
            <w:tcW w:w="1440" w:type="dxa"/>
            <w:noWrap w:val="0"/>
            <w:vAlign w:val="top"/>
          </w:tcPr>
          <w:p>
            <w:pPr>
              <w:rPr>
                <w:rFonts w:hint="eastAsia"/>
              </w:rPr>
            </w:pPr>
          </w:p>
        </w:tc>
        <w:tc>
          <w:tcPr>
            <w:tcW w:w="720" w:type="dxa"/>
            <w:noWrap w:val="0"/>
            <w:vAlign w:val="top"/>
          </w:tcPr>
          <w:p>
            <w:pPr>
              <w:rPr>
                <w:rFonts w:hint="eastAsia"/>
              </w:rPr>
            </w:pPr>
          </w:p>
        </w:tc>
        <w:tc>
          <w:tcPr>
            <w:tcW w:w="720" w:type="dxa"/>
            <w:noWrap w:val="0"/>
            <w:vAlign w:val="top"/>
          </w:tcPr>
          <w:p>
            <w:pPr>
              <w:rPr>
                <w:rFonts w:hint="eastAsia"/>
              </w:rPr>
            </w:pPr>
          </w:p>
        </w:tc>
        <w:tc>
          <w:tcPr>
            <w:tcW w:w="720" w:type="dxa"/>
            <w:noWrap w:val="0"/>
            <w:vAlign w:val="top"/>
          </w:tcPr>
          <w:p>
            <w:pPr>
              <w:rPr>
                <w:rFonts w:hint="eastAsia"/>
              </w:rPr>
            </w:pPr>
          </w:p>
        </w:tc>
        <w:tc>
          <w:tcPr>
            <w:tcW w:w="720" w:type="dxa"/>
            <w:noWrap w:val="0"/>
            <w:vAlign w:val="top"/>
          </w:tcPr>
          <w:p>
            <w:pPr>
              <w:jc w:val="center"/>
              <w:rPr>
                <w:rFonts w:hint="eastAsia"/>
              </w:rPr>
            </w:pPr>
          </w:p>
        </w:tc>
        <w:tc>
          <w:tcPr>
            <w:tcW w:w="720" w:type="dxa"/>
            <w:noWrap w:val="0"/>
            <w:vAlign w:val="center"/>
          </w:tcPr>
          <w:p>
            <w:pPr>
              <w:jc w:val="center"/>
              <w:rPr>
                <w:rFonts w:hint="eastAsia"/>
              </w:rPr>
            </w:pPr>
          </w:p>
        </w:tc>
        <w:tc>
          <w:tcPr>
            <w:tcW w:w="720" w:type="dxa"/>
            <w:noWrap w:val="0"/>
            <w:vAlign w:val="center"/>
          </w:tcPr>
          <w:p>
            <w:pPr>
              <w:jc w:val="center"/>
              <w:rPr>
                <w:rFonts w:hint="eastAsia"/>
              </w:rPr>
            </w:pPr>
          </w:p>
        </w:tc>
        <w:tc>
          <w:tcPr>
            <w:tcW w:w="720" w:type="dxa"/>
            <w:noWrap w:val="0"/>
            <w:vAlign w:val="center"/>
          </w:tcPr>
          <w:p>
            <w:pPr>
              <w:jc w:val="center"/>
              <w:rPr>
                <w:rFonts w:hint="eastAsia"/>
              </w:rPr>
            </w:pPr>
          </w:p>
        </w:tc>
        <w:tc>
          <w:tcPr>
            <w:tcW w:w="720" w:type="dxa"/>
            <w:noWrap w:val="0"/>
            <w:vAlign w:val="center"/>
          </w:tcPr>
          <w:p>
            <w:pPr>
              <w:jc w:val="center"/>
              <w:rPr>
                <w:rFonts w:hint="eastAsia"/>
              </w:rPr>
            </w:pPr>
          </w:p>
        </w:tc>
        <w:tc>
          <w:tcPr>
            <w:tcW w:w="900" w:type="dxa"/>
            <w:noWrap w:val="0"/>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9" w:hRule="atLeast"/>
        </w:trPr>
        <w:tc>
          <w:tcPr>
            <w:tcW w:w="540" w:type="dxa"/>
            <w:noWrap w:val="0"/>
            <w:vAlign w:val="top"/>
          </w:tcPr>
          <w:p>
            <w:pPr>
              <w:rPr>
                <w:rFonts w:hint="eastAsia"/>
              </w:rPr>
            </w:pPr>
          </w:p>
        </w:tc>
        <w:tc>
          <w:tcPr>
            <w:tcW w:w="1440" w:type="dxa"/>
            <w:noWrap w:val="0"/>
            <w:vAlign w:val="top"/>
          </w:tcPr>
          <w:p>
            <w:pPr>
              <w:rPr>
                <w:rFonts w:hint="eastAsia"/>
              </w:rPr>
            </w:pPr>
          </w:p>
        </w:tc>
        <w:tc>
          <w:tcPr>
            <w:tcW w:w="900" w:type="dxa"/>
            <w:noWrap w:val="0"/>
            <w:vAlign w:val="top"/>
          </w:tcPr>
          <w:p>
            <w:pPr>
              <w:rPr>
                <w:rFonts w:hint="eastAsia"/>
              </w:rPr>
            </w:pPr>
          </w:p>
        </w:tc>
        <w:tc>
          <w:tcPr>
            <w:tcW w:w="720" w:type="dxa"/>
            <w:noWrap w:val="0"/>
            <w:vAlign w:val="top"/>
          </w:tcPr>
          <w:p>
            <w:pPr>
              <w:rPr>
                <w:rFonts w:hint="eastAsia"/>
              </w:rPr>
            </w:pPr>
          </w:p>
        </w:tc>
        <w:tc>
          <w:tcPr>
            <w:tcW w:w="720" w:type="dxa"/>
            <w:noWrap w:val="0"/>
            <w:vAlign w:val="top"/>
          </w:tcPr>
          <w:p>
            <w:pPr>
              <w:rPr>
                <w:rFonts w:hint="eastAsia"/>
              </w:rPr>
            </w:pPr>
          </w:p>
        </w:tc>
        <w:tc>
          <w:tcPr>
            <w:tcW w:w="1260" w:type="dxa"/>
            <w:noWrap w:val="0"/>
            <w:vAlign w:val="top"/>
          </w:tcPr>
          <w:p>
            <w:pPr>
              <w:rPr>
                <w:rFonts w:hint="eastAsia"/>
              </w:rPr>
            </w:pPr>
          </w:p>
        </w:tc>
        <w:tc>
          <w:tcPr>
            <w:tcW w:w="720" w:type="dxa"/>
            <w:noWrap w:val="0"/>
            <w:vAlign w:val="top"/>
          </w:tcPr>
          <w:p>
            <w:pPr>
              <w:rPr>
                <w:rFonts w:hint="eastAsia"/>
              </w:rPr>
            </w:pPr>
          </w:p>
        </w:tc>
        <w:tc>
          <w:tcPr>
            <w:tcW w:w="1440" w:type="dxa"/>
            <w:noWrap w:val="0"/>
            <w:vAlign w:val="top"/>
          </w:tcPr>
          <w:p>
            <w:pPr>
              <w:rPr>
                <w:rFonts w:hint="eastAsia"/>
              </w:rPr>
            </w:pPr>
          </w:p>
        </w:tc>
        <w:tc>
          <w:tcPr>
            <w:tcW w:w="720" w:type="dxa"/>
            <w:noWrap w:val="0"/>
            <w:vAlign w:val="top"/>
          </w:tcPr>
          <w:p>
            <w:pPr>
              <w:rPr>
                <w:rFonts w:hint="eastAsia"/>
              </w:rPr>
            </w:pPr>
          </w:p>
        </w:tc>
        <w:tc>
          <w:tcPr>
            <w:tcW w:w="720" w:type="dxa"/>
            <w:noWrap w:val="0"/>
            <w:vAlign w:val="top"/>
          </w:tcPr>
          <w:p>
            <w:pPr>
              <w:rPr>
                <w:rFonts w:hint="eastAsia"/>
              </w:rPr>
            </w:pPr>
          </w:p>
        </w:tc>
        <w:tc>
          <w:tcPr>
            <w:tcW w:w="720" w:type="dxa"/>
            <w:noWrap w:val="0"/>
            <w:vAlign w:val="top"/>
          </w:tcPr>
          <w:p>
            <w:pPr>
              <w:rPr>
                <w:rFonts w:hint="eastAsia"/>
              </w:rPr>
            </w:pPr>
          </w:p>
        </w:tc>
        <w:tc>
          <w:tcPr>
            <w:tcW w:w="720" w:type="dxa"/>
            <w:noWrap w:val="0"/>
            <w:vAlign w:val="top"/>
          </w:tcPr>
          <w:p>
            <w:pPr>
              <w:jc w:val="center"/>
              <w:rPr>
                <w:rFonts w:hint="eastAsia"/>
              </w:rPr>
            </w:pPr>
          </w:p>
        </w:tc>
        <w:tc>
          <w:tcPr>
            <w:tcW w:w="720" w:type="dxa"/>
            <w:noWrap w:val="0"/>
            <w:vAlign w:val="center"/>
          </w:tcPr>
          <w:p>
            <w:pPr>
              <w:jc w:val="center"/>
              <w:rPr>
                <w:rFonts w:hint="eastAsia"/>
              </w:rPr>
            </w:pPr>
          </w:p>
        </w:tc>
        <w:tc>
          <w:tcPr>
            <w:tcW w:w="720" w:type="dxa"/>
            <w:noWrap w:val="0"/>
            <w:vAlign w:val="center"/>
          </w:tcPr>
          <w:p>
            <w:pPr>
              <w:jc w:val="center"/>
              <w:rPr>
                <w:rFonts w:hint="eastAsia"/>
              </w:rPr>
            </w:pPr>
          </w:p>
        </w:tc>
        <w:tc>
          <w:tcPr>
            <w:tcW w:w="720" w:type="dxa"/>
            <w:noWrap w:val="0"/>
            <w:vAlign w:val="center"/>
          </w:tcPr>
          <w:p>
            <w:pPr>
              <w:jc w:val="center"/>
              <w:rPr>
                <w:rFonts w:hint="eastAsia"/>
              </w:rPr>
            </w:pPr>
          </w:p>
        </w:tc>
        <w:tc>
          <w:tcPr>
            <w:tcW w:w="720" w:type="dxa"/>
            <w:noWrap w:val="0"/>
            <w:vAlign w:val="center"/>
          </w:tcPr>
          <w:p>
            <w:pPr>
              <w:jc w:val="center"/>
              <w:rPr>
                <w:rFonts w:hint="eastAsia"/>
              </w:rPr>
            </w:pPr>
          </w:p>
        </w:tc>
        <w:tc>
          <w:tcPr>
            <w:tcW w:w="900" w:type="dxa"/>
            <w:noWrap w:val="0"/>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6" w:hRule="atLeast"/>
        </w:trPr>
        <w:tc>
          <w:tcPr>
            <w:tcW w:w="540" w:type="dxa"/>
            <w:noWrap w:val="0"/>
            <w:vAlign w:val="top"/>
          </w:tcPr>
          <w:p>
            <w:pPr>
              <w:rPr>
                <w:rFonts w:hint="eastAsia"/>
              </w:rPr>
            </w:pPr>
          </w:p>
        </w:tc>
        <w:tc>
          <w:tcPr>
            <w:tcW w:w="1440" w:type="dxa"/>
            <w:noWrap w:val="0"/>
            <w:vAlign w:val="top"/>
          </w:tcPr>
          <w:p>
            <w:pPr>
              <w:rPr>
                <w:rFonts w:hint="eastAsia"/>
              </w:rPr>
            </w:pPr>
          </w:p>
        </w:tc>
        <w:tc>
          <w:tcPr>
            <w:tcW w:w="900" w:type="dxa"/>
            <w:noWrap w:val="0"/>
            <w:vAlign w:val="top"/>
          </w:tcPr>
          <w:p>
            <w:pPr>
              <w:rPr>
                <w:rFonts w:hint="eastAsia"/>
              </w:rPr>
            </w:pPr>
          </w:p>
        </w:tc>
        <w:tc>
          <w:tcPr>
            <w:tcW w:w="720" w:type="dxa"/>
            <w:noWrap w:val="0"/>
            <w:vAlign w:val="top"/>
          </w:tcPr>
          <w:p>
            <w:pPr>
              <w:rPr>
                <w:rFonts w:hint="eastAsia"/>
              </w:rPr>
            </w:pPr>
          </w:p>
        </w:tc>
        <w:tc>
          <w:tcPr>
            <w:tcW w:w="720" w:type="dxa"/>
            <w:noWrap w:val="0"/>
            <w:vAlign w:val="top"/>
          </w:tcPr>
          <w:p>
            <w:pPr>
              <w:rPr>
                <w:rFonts w:hint="eastAsia"/>
              </w:rPr>
            </w:pPr>
          </w:p>
        </w:tc>
        <w:tc>
          <w:tcPr>
            <w:tcW w:w="1260" w:type="dxa"/>
            <w:noWrap w:val="0"/>
            <w:vAlign w:val="top"/>
          </w:tcPr>
          <w:p>
            <w:pPr>
              <w:rPr>
                <w:rFonts w:hint="eastAsia"/>
              </w:rPr>
            </w:pPr>
          </w:p>
        </w:tc>
        <w:tc>
          <w:tcPr>
            <w:tcW w:w="720" w:type="dxa"/>
            <w:noWrap w:val="0"/>
            <w:vAlign w:val="top"/>
          </w:tcPr>
          <w:p>
            <w:pPr>
              <w:rPr>
                <w:rFonts w:hint="eastAsia"/>
              </w:rPr>
            </w:pPr>
          </w:p>
        </w:tc>
        <w:tc>
          <w:tcPr>
            <w:tcW w:w="1440" w:type="dxa"/>
            <w:noWrap w:val="0"/>
            <w:vAlign w:val="top"/>
          </w:tcPr>
          <w:p>
            <w:pPr>
              <w:rPr>
                <w:rFonts w:hint="eastAsia"/>
              </w:rPr>
            </w:pPr>
          </w:p>
        </w:tc>
        <w:tc>
          <w:tcPr>
            <w:tcW w:w="720" w:type="dxa"/>
            <w:noWrap w:val="0"/>
            <w:vAlign w:val="top"/>
          </w:tcPr>
          <w:p>
            <w:pPr>
              <w:rPr>
                <w:rFonts w:hint="eastAsia"/>
              </w:rPr>
            </w:pPr>
          </w:p>
        </w:tc>
        <w:tc>
          <w:tcPr>
            <w:tcW w:w="720" w:type="dxa"/>
            <w:noWrap w:val="0"/>
            <w:vAlign w:val="top"/>
          </w:tcPr>
          <w:p>
            <w:pPr>
              <w:rPr>
                <w:rFonts w:hint="eastAsia"/>
              </w:rPr>
            </w:pPr>
          </w:p>
        </w:tc>
        <w:tc>
          <w:tcPr>
            <w:tcW w:w="720" w:type="dxa"/>
            <w:noWrap w:val="0"/>
            <w:vAlign w:val="top"/>
          </w:tcPr>
          <w:p>
            <w:pPr>
              <w:rPr>
                <w:rFonts w:hint="eastAsia"/>
              </w:rPr>
            </w:pPr>
          </w:p>
        </w:tc>
        <w:tc>
          <w:tcPr>
            <w:tcW w:w="720" w:type="dxa"/>
            <w:noWrap w:val="0"/>
            <w:vAlign w:val="top"/>
          </w:tcPr>
          <w:p>
            <w:pPr>
              <w:jc w:val="center"/>
              <w:rPr>
                <w:rFonts w:hint="eastAsia"/>
              </w:rPr>
            </w:pPr>
          </w:p>
        </w:tc>
        <w:tc>
          <w:tcPr>
            <w:tcW w:w="720" w:type="dxa"/>
            <w:noWrap w:val="0"/>
            <w:vAlign w:val="center"/>
          </w:tcPr>
          <w:p>
            <w:pPr>
              <w:jc w:val="center"/>
              <w:rPr>
                <w:rFonts w:hint="eastAsia"/>
              </w:rPr>
            </w:pPr>
          </w:p>
        </w:tc>
        <w:tc>
          <w:tcPr>
            <w:tcW w:w="720" w:type="dxa"/>
            <w:noWrap w:val="0"/>
            <w:vAlign w:val="center"/>
          </w:tcPr>
          <w:p>
            <w:pPr>
              <w:jc w:val="center"/>
              <w:rPr>
                <w:rFonts w:hint="eastAsia"/>
              </w:rPr>
            </w:pPr>
          </w:p>
        </w:tc>
        <w:tc>
          <w:tcPr>
            <w:tcW w:w="720" w:type="dxa"/>
            <w:noWrap w:val="0"/>
            <w:vAlign w:val="center"/>
          </w:tcPr>
          <w:p>
            <w:pPr>
              <w:jc w:val="center"/>
              <w:rPr>
                <w:rFonts w:hint="eastAsia"/>
              </w:rPr>
            </w:pPr>
          </w:p>
        </w:tc>
        <w:tc>
          <w:tcPr>
            <w:tcW w:w="720" w:type="dxa"/>
            <w:noWrap w:val="0"/>
            <w:vAlign w:val="center"/>
          </w:tcPr>
          <w:p>
            <w:pPr>
              <w:jc w:val="center"/>
              <w:rPr>
                <w:rFonts w:hint="eastAsia"/>
              </w:rPr>
            </w:pPr>
          </w:p>
        </w:tc>
        <w:tc>
          <w:tcPr>
            <w:tcW w:w="900" w:type="dxa"/>
            <w:noWrap w:val="0"/>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9" w:hRule="atLeast"/>
        </w:trPr>
        <w:tc>
          <w:tcPr>
            <w:tcW w:w="540" w:type="dxa"/>
            <w:noWrap w:val="0"/>
            <w:vAlign w:val="center"/>
          </w:tcPr>
          <w:p>
            <w:pPr>
              <w:jc w:val="center"/>
              <w:rPr>
                <w:rFonts w:hint="eastAsia"/>
              </w:rPr>
            </w:pPr>
            <w:r>
              <w:rPr>
                <w:rFonts w:hint="eastAsia"/>
              </w:rPr>
              <w:t>总计</w:t>
            </w:r>
          </w:p>
        </w:tc>
        <w:tc>
          <w:tcPr>
            <w:tcW w:w="1440" w:type="dxa"/>
            <w:noWrap w:val="0"/>
            <w:vAlign w:val="top"/>
          </w:tcPr>
          <w:p>
            <w:pPr>
              <w:rPr>
                <w:rFonts w:hint="eastAsia"/>
              </w:rPr>
            </w:pPr>
          </w:p>
        </w:tc>
        <w:tc>
          <w:tcPr>
            <w:tcW w:w="900" w:type="dxa"/>
            <w:noWrap w:val="0"/>
            <w:vAlign w:val="top"/>
          </w:tcPr>
          <w:p>
            <w:pPr>
              <w:rPr>
                <w:rFonts w:hint="eastAsia"/>
              </w:rPr>
            </w:pPr>
          </w:p>
        </w:tc>
        <w:tc>
          <w:tcPr>
            <w:tcW w:w="720" w:type="dxa"/>
            <w:noWrap w:val="0"/>
            <w:vAlign w:val="top"/>
          </w:tcPr>
          <w:p>
            <w:pPr>
              <w:rPr>
                <w:rFonts w:hint="eastAsia"/>
              </w:rPr>
            </w:pPr>
          </w:p>
        </w:tc>
        <w:tc>
          <w:tcPr>
            <w:tcW w:w="720" w:type="dxa"/>
            <w:noWrap w:val="0"/>
            <w:vAlign w:val="top"/>
          </w:tcPr>
          <w:p>
            <w:pPr>
              <w:rPr>
                <w:rFonts w:hint="eastAsia"/>
              </w:rPr>
            </w:pPr>
          </w:p>
        </w:tc>
        <w:tc>
          <w:tcPr>
            <w:tcW w:w="1260" w:type="dxa"/>
            <w:noWrap w:val="0"/>
            <w:vAlign w:val="top"/>
          </w:tcPr>
          <w:p>
            <w:pPr>
              <w:rPr>
                <w:rFonts w:hint="eastAsia"/>
              </w:rPr>
            </w:pPr>
          </w:p>
        </w:tc>
        <w:tc>
          <w:tcPr>
            <w:tcW w:w="720" w:type="dxa"/>
            <w:noWrap w:val="0"/>
            <w:vAlign w:val="top"/>
          </w:tcPr>
          <w:p>
            <w:pPr>
              <w:rPr>
                <w:rFonts w:hint="eastAsia"/>
              </w:rPr>
            </w:pPr>
          </w:p>
        </w:tc>
        <w:tc>
          <w:tcPr>
            <w:tcW w:w="1440" w:type="dxa"/>
            <w:noWrap w:val="0"/>
            <w:vAlign w:val="top"/>
          </w:tcPr>
          <w:p>
            <w:pPr>
              <w:rPr>
                <w:rFonts w:hint="eastAsia"/>
              </w:rPr>
            </w:pPr>
          </w:p>
        </w:tc>
        <w:tc>
          <w:tcPr>
            <w:tcW w:w="720" w:type="dxa"/>
            <w:noWrap w:val="0"/>
            <w:vAlign w:val="top"/>
          </w:tcPr>
          <w:p>
            <w:pPr>
              <w:rPr>
                <w:rFonts w:hint="eastAsia"/>
              </w:rPr>
            </w:pPr>
          </w:p>
        </w:tc>
        <w:tc>
          <w:tcPr>
            <w:tcW w:w="720" w:type="dxa"/>
            <w:noWrap w:val="0"/>
            <w:vAlign w:val="top"/>
          </w:tcPr>
          <w:p>
            <w:pPr>
              <w:rPr>
                <w:rFonts w:hint="eastAsia"/>
              </w:rPr>
            </w:pPr>
          </w:p>
        </w:tc>
        <w:tc>
          <w:tcPr>
            <w:tcW w:w="720" w:type="dxa"/>
            <w:noWrap w:val="0"/>
            <w:vAlign w:val="top"/>
          </w:tcPr>
          <w:p>
            <w:pPr>
              <w:rPr>
                <w:rFonts w:hint="eastAsia"/>
              </w:rPr>
            </w:pPr>
          </w:p>
        </w:tc>
        <w:tc>
          <w:tcPr>
            <w:tcW w:w="720" w:type="dxa"/>
            <w:noWrap w:val="0"/>
            <w:vAlign w:val="top"/>
          </w:tcPr>
          <w:p>
            <w:pPr>
              <w:jc w:val="center"/>
              <w:rPr>
                <w:rFonts w:hint="eastAsia"/>
              </w:rPr>
            </w:pPr>
          </w:p>
        </w:tc>
        <w:tc>
          <w:tcPr>
            <w:tcW w:w="720" w:type="dxa"/>
            <w:noWrap w:val="0"/>
            <w:vAlign w:val="center"/>
          </w:tcPr>
          <w:p>
            <w:pPr>
              <w:jc w:val="center"/>
              <w:rPr>
                <w:rFonts w:hint="eastAsia"/>
              </w:rPr>
            </w:pPr>
          </w:p>
        </w:tc>
        <w:tc>
          <w:tcPr>
            <w:tcW w:w="720" w:type="dxa"/>
            <w:noWrap w:val="0"/>
            <w:vAlign w:val="center"/>
          </w:tcPr>
          <w:p>
            <w:pPr>
              <w:jc w:val="center"/>
              <w:rPr>
                <w:rFonts w:hint="eastAsia"/>
              </w:rPr>
            </w:pPr>
          </w:p>
        </w:tc>
        <w:tc>
          <w:tcPr>
            <w:tcW w:w="720" w:type="dxa"/>
            <w:noWrap w:val="0"/>
            <w:vAlign w:val="center"/>
          </w:tcPr>
          <w:p>
            <w:pPr>
              <w:jc w:val="center"/>
              <w:rPr>
                <w:rFonts w:hint="eastAsia"/>
              </w:rPr>
            </w:pPr>
          </w:p>
        </w:tc>
        <w:tc>
          <w:tcPr>
            <w:tcW w:w="720" w:type="dxa"/>
            <w:noWrap w:val="0"/>
            <w:vAlign w:val="center"/>
          </w:tcPr>
          <w:p>
            <w:pPr>
              <w:jc w:val="center"/>
              <w:rPr>
                <w:rFonts w:hint="eastAsia"/>
              </w:rPr>
            </w:pPr>
          </w:p>
        </w:tc>
        <w:tc>
          <w:tcPr>
            <w:tcW w:w="900" w:type="dxa"/>
            <w:noWrap w:val="0"/>
            <w:vAlign w:val="center"/>
          </w:tcPr>
          <w:p>
            <w:pPr>
              <w:jc w:val="center"/>
              <w:rPr>
                <w:rFonts w:hint="eastAsia"/>
              </w:rPr>
            </w:pPr>
          </w:p>
        </w:tc>
      </w:tr>
    </w:tbl>
    <w:p>
      <w:pPr>
        <w:rPr>
          <w:rFonts w:hint="eastAsia"/>
        </w:rPr>
      </w:pPr>
      <w:r>
        <w:rPr>
          <w:rFonts w:hint="eastAsia"/>
        </w:rPr>
        <w:t>填报说明：1.逾期未支付是指在合同约定的支付时间内而未按照约定支付资金的合同，分期支付的合同按每次支付时间和条件确定是否逾期，协议供货</w:t>
      </w:r>
    </w:p>
    <w:p>
      <w:pPr>
        <w:ind w:firstLine="1260" w:firstLineChars="600"/>
        <w:rPr>
          <w:rFonts w:hint="eastAsia"/>
        </w:rPr>
      </w:pPr>
      <w:r>
        <w:rPr>
          <w:rFonts w:hint="eastAsia"/>
        </w:rPr>
        <w:t>网上商城采购超出45天的视同逾期；</w:t>
      </w:r>
    </w:p>
    <w:p>
      <w:pPr>
        <w:ind w:firstLine="1050" w:firstLineChars="500"/>
        <w:rPr>
          <w:rFonts w:hint="eastAsia"/>
        </w:rPr>
      </w:pPr>
      <w:r>
        <w:rPr>
          <w:rFonts w:hint="eastAsia"/>
        </w:rPr>
        <w:t>2.该表为逾期未支付情况统计表，已正常支付资金或者虽逾期但已经支付的合同不填报；</w:t>
      </w:r>
    </w:p>
    <w:p>
      <w:pPr>
        <w:ind w:firstLine="1050" w:firstLineChars="500"/>
        <w:rPr>
          <w:rFonts w:hint="eastAsia"/>
        </w:rPr>
      </w:pPr>
      <w:r>
        <w:rPr>
          <w:rFonts w:hint="eastAsia"/>
        </w:rPr>
        <w:t>3.若一个项目分若干个包，请分包、分合同填写。依据《招标投标法》实施的工程项目、限额以下的非政府采购项目不统计；</w:t>
      </w:r>
    </w:p>
    <w:p>
      <w:pPr>
        <w:rPr>
          <w:rFonts w:hint="eastAsia"/>
        </w:rPr>
      </w:pPr>
      <w:r>
        <w:rPr>
          <w:rFonts w:hint="eastAsia"/>
        </w:rPr>
        <w:t xml:space="preserve">          4.支付进度是指截止填报日期合同已支付和未支付的金额；</w:t>
      </w:r>
    </w:p>
    <w:p>
      <w:pPr>
        <w:rPr>
          <w:rFonts w:hint="eastAsia"/>
        </w:rPr>
      </w:pPr>
      <w:r>
        <w:rPr>
          <w:rFonts w:hint="eastAsia"/>
        </w:rPr>
        <w:t xml:space="preserve">          5.本表由采购人于每年7月20日、1月31日前填写每年上半年和上年度全年政府采购合同资金逾期未支付情况报送本级财政部门。</w:t>
      </w:r>
    </w:p>
    <w:p>
      <w:pPr>
        <w:rPr>
          <w:rFonts w:hint="default"/>
          <w:lang w:val="en-US" w:eastAsia="zh-CN"/>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0AFF" w:usb1="00007843" w:usb2="00000001" w:usb3="00000000" w:csb0="400001BF" w:csb1="DFF7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VjMGJkZmFlMTQwMTgwZDIyOTIxMmE4ZjA1ZjdlNWYifQ=="/>
  </w:docVars>
  <w:rsids>
    <w:rsidRoot w:val="4EC5789E"/>
    <w:rsid w:val="4EC5789E"/>
    <w:rsid w:val="538A13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Office_11.8.6.8556_F1E327BC-269C-435d-A152-05C5408002CA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2022-09-26T08:21:00Z</dcterms:created>
  <dc:creator>Administrator</dc:creator>
  <cp:lastModifiedBy>Administrator</cp:lastModifiedBy>
  <dcterms:modified xsi:type="dcterms:W3CDTF">2022-09-27T06:01:15Z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y fmtid="{D5CDD505-2E9C-101B-9397-08002B2CF9AE}" pid="3" name="ICV">
    <vt:lpwstr>BA833E639EE143D491BDA1D989871273</vt:lpwstr>
  </property>
</Properties>
</file>