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7"/>
        <w:spacing w:line="56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/>
          <w:sz w:val="32"/>
          <w:szCs w:val="32"/>
        </w:rPr>
        <w:t>1：</w:t>
      </w:r>
    </w:p>
    <w:p>
      <w:pPr>
        <w:pStyle w:val="17"/>
        <w:spacing w:line="560" w:lineRule="exact"/>
        <w:ind w:firstLine="1760" w:firstLineChars="4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2023年银川市肉牛产业高质量发展主要任务指标分配表</w:t>
      </w:r>
    </w:p>
    <w:tbl>
      <w:tblPr>
        <w:tblStyle w:val="11"/>
        <w:tblpPr w:leftFromText="180" w:rightFromText="180" w:vertAnchor="text" w:horzAnchor="page" w:tblpXSpec="center" w:tblpY="249"/>
        <w:tblOverlap w:val="never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1231"/>
        <w:gridCol w:w="1575"/>
        <w:gridCol w:w="1575"/>
        <w:gridCol w:w="1575"/>
        <w:gridCol w:w="1415"/>
        <w:gridCol w:w="2977"/>
        <w:gridCol w:w="198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23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地区</w:t>
            </w:r>
          </w:p>
        </w:tc>
        <w:tc>
          <w:tcPr>
            <w:tcW w:w="157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肉牛饲养量（万头）</w:t>
            </w:r>
          </w:p>
        </w:tc>
        <w:tc>
          <w:tcPr>
            <w:tcW w:w="456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良种补贴</w:t>
            </w:r>
          </w:p>
        </w:tc>
        <w:tc>
          <w:tcPr>
            <w:tcW w:w="297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冷配改良点设备更新任务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（个）</w:t>
            </w:r>
          </w:p>
        </w:tc>
        <w:tc>
          <w:tcPr>
            <w:tcW w:w="1984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冷配改良点设备更新资金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（万元）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231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7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冻精任务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（万支）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液氮任务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（万升）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资金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（万元）</w:t>
            </w:r>
          </w:p>
        </w:tc>
        <w:tc>
          <w:tcPr>
            <w:tcW w:w="297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993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银川市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4"/>
                <w:szCs w:val="24"/>
              </w:rPr>
              <w:t xml:space="preserve">26.6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2.9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0.4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3.3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兴庆区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 xml:space="preserve">2.8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金凤区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>—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西夏区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 xml:space="preserve">2.0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永宁县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 xml:space="preserve">8.7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0.3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Tahoma" w:cs="Times New Roman"/>
                <w:sz w:val="24"/>
                <w:szCs w:val="24"/>
              </w:rPr>
              <w:t>1.8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贺兰县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 xml:space="preserve">4.8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4"/>
                <w:szCs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  <w:lang w:bidi="ar"/>
              </w:rPr>
              <w:t>灵武市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</w:rPr>
              <w:t xml:space="preserve">8.3 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4"/>
                <w:szCs w:val="24"/>
                <w:lang w:bidi="ar"/>
              </w:rPr>
              <w:t>0.9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4"/>
                <w:szCs w:val="24"/>
                <w:lang w:bidi="ar"/>
              </w:rPr>
              <w:t>0.1</w:t>
            </w:r>
          </w:p>
        </w:tc>
        <w:tc>
          <w:tcPr>
            <w:tcW w:w="14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4"/>
                <w:szCs w:val="24"/>
                <w:lang w:bidi="ar"/>
              </w:rPr>
              <w:t>1.5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17"/>
        <w:spacing w:line="560" w:lineRule="exact"/>
        <w:ind w:firstLine="0" w:firstLineChars="0"/>
        <w:rPr>
          <w:rFonts w:ascii="Times New Roman" w:hAnsi="Times New Roman" w:eastAsia="仿宋_GB2312"/>
          <w:sz w:val="32"/>
          <w:szCs w:val="32"/>
        </w:rPr>
      </w:pPr>
    </w:p>
    <w:p>
      <w:pPr>
        <w:pStyle w:val="17"/>
        <w:spacing w:line="560" w:lineRule="exact"/>
        <w:ind w:firstLine="0" w:firstLineChars="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br w:type="page"/>
      </w:r>
      <w:r>
        <w:rPr>
          <w:rFonts w:hint="eastAsia" w:ascii="Times New Roman" w:hAnsi="Times New Roman" w:eastAsia="仿宋_GB2312"/>
          <w:sz w:val="32"/>
          <w:szCs w:val="32"/>
        </w:rPr>
        <w:t>附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件</w:t>
      </w:r>
      <w:r>
        <w:rPr>
          <w:rFonts w:hint="eastAsia" w:ascii="Times New Roman" w:hAnsi="Times New Roman" w:eastAsia="仿宋_GB2312"/>
          <w:sz w:val="32"/>
          <w:szCs w:val="32"/>
        </w:rPr>
        <w:t>2：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2023年银川市各部门肉牛产业高质量发展重点任务分工表</w:t>
      </w:r>
    </w:p>
    <w:tbl>
      <w:tblPr>
        <w:tblStyle w:val="11"/>
        <w:tblpPr w:leftFromText="180" w:rightFromText="180" w:vertAnchor="text" w:horzAnchor="page" w:tblpXSpec="center" w:tblpY="246"/>
        <w:tblOverlap w:val="never"/>
        <w:tblW w:w="1327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0726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22"/>
              </w:rPr>
            </w:pPr>
            <w:r>
              <w:rPr>
                <w:rStyle w:val="18"/>
                <w:rFonts w:hint="default" w:ascii="Times New Roman" w:hAnsi="Times New Roman" w:eastAsia="黑体" w:cs="Times New Roman"/>
                <w:b w:val="0"/>
                <w:bCs/>
                <w:color w:val="auto"/>
                <w:lang w:bidi="ar"/>
              </w:rPr>
              <w:t>序号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22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lang w:bidi="ar"/>
              </w:rPr>
              <w:t>重点任务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黑体" w:cs="Times New Roman"/>
                <w:bCs/>
                <w:sz w:val="22"/>
              </w:rPr>
            </w:pPr>
            <w:r>
              <w:rPr>
                <w:rFonts w:ascii="Times New Roman" w:hAnsi="Times New Roman" w:eastAsia="黑体" w:cs="Times New Roman"/>
                <w:bCs/>
                <w:kern w:val="0"/>
                <w:sz w:val="22"/>
                <w:lang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制定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引发</w:t>
            </w:r>
            <w:r>
              <w:rPr>
                <w:rStyle w:val="19"/>
                <w:rFonts w:eastAsia="宋体"/>
                <w:color w:val="auto"/>
                <w:lang w:bidi="ar"/>
              </w:rPr>
              <w:t>《202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3</w:t>
            </w:r>
            <w:r>
              <w:rPr>
                <w:rStyle w:val="19"/>
                <w:rFonts w:eastAsia="宋体"/>
                <w:color w:val="auto"/>
                <w:lang w:bidi="ar"/>
              </w:rPr>
              <w:t>年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产业高质量发展工作要点及任务分工方案》，列出任务、责任、时间“三个清单”，压实责任，推进全年各项重点工作任务全面落实。</w:t>
            </w:r>
          </w:p>
        </w:tc>
        <w:tc>
          <w:tcPr>
            <w:tcW w:w="145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包抓工作领导办公室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每月按时完成收入监测平台“肉牛产业”统计工作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调研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产业发展情况，指导各县（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）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区</w:t>
            </w:r>
            <w:r>
              <w:rPr>
                <w:rStyle w:val="19"/>
                <w:rFonts w:eastAsia="宋体"/>
                <w:color w:val="auto"/>
                <w:lang w:bidi="ar"/>
              </w:rPr>
              <w:t>推进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产业高质量发展工作，督促相关部门协调解决存在的突出问题。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编发包抓机制工作信息简报，对包抓机制开展情况、典型案例、先进经验等进行报道和宣传。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推广优质西门塔尔牛、安格斯牛冻精2.9万只，改良肉牛1万头，肉牛良种化率达到90%。支持经营主体扩大“保母扩群”力度，肉牛饲养量达到26.6万头。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全面提升精深加工、市场开拓、品牌营销水平，培育提升牛肉营销中心2个，组织企业参加“宁夏品质中国行”、全国特色农产品经销商宁夏行等系列活动。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组织县市区参加自治区技术骨干、经营管理人才、高素质农民、养殖户培训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有效防控重大动物疫病和人畜共患传染病，全面提升养殖场道屠宰的全链条兽医卫生风险防控水平，重大动物疫病免疫密度达到100%，强制免疫抗体合格率达到70%以上。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强化动物防疫条件审查，落实新建养殖场风险评估要求，严格执行吊运落地监管，执行跨省调运经动物及动物产品指定通道入境规定，确保不发生区域性重大动物疫情。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3</w:t>
            </w: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积极争取中央预算内资金和自治区预算内统筹资金，支持肉牛养殖园区完善基础设施建设。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发改委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4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围绕肉牛良种繁育、高效生态养殖、粪污资源化利用等方面开展科技攻关和成果转化，为肉牛产业高质量发展提供科技支撑。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科技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lang w:bidi="ar"/>
              </w:rPr>
              <w:t>5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支持肉牛屠宰和肉制品加工项目建设，提高精深加工能力。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工信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6</w:t>
            </w:r>
          </w:p>
        </w:tc>
        <w:tc>
          <w:tcPr>
            <w:tcW w:w="10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落实财政支持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产业发展的相关政策，发挥财政资金引导作用，强化财政资金使用管理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。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财政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7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创新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日常</w:t>
            </w:r>
            <w:r>
              <w:rPr>
                <w:rStyle w:val="19"/>
                <w:rFonts w:eastAsia="宋体"/>
                <w:color w:val="auto"/>
                <w:lang w:bidi="ar"/>
              </w:rPr>
              <w:t>评价机制，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落实</w:t>
            </w:r>
            <w:r>
              <w:rPr>
                <w:rStyle w:val="19"/>
                <w:rFonts w:eastAsia="宋体"/>
                <w:color w:val="auto"/>
                <w:lang w:bidi="ar"/>
              </w:rPr>
              <w:t>技能人才培养、评价、使用和激励政策，健全职业技能多元化评价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各项</w:t>
            </w:r>
            <w:r>
              <w:rPr>
                <w:rStyle w:val="19"/>
                <w:rFonts w:eastAsia="宋体"/>
                <w:color w:val="auto"/>
                <w:lang w:bidi="ar"/>
              </w:rPr>
              <w:t>措施。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人社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按照行业需求，为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产业提供人才支持，落实自治区重大人才工程、人才项目，通过挂职兼职、项目合作、联合攻关等方式，支持相关企事业单位引进和培养一批学术水平高、急需紧缺的高端人才。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8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落实好支持农村新产业、新业态发展的用地政策，研究制定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产业发展用地政策，合理确定加工企业生产设施用地和附属用地的规模。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自然资源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督促县区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落实肉牛产业</w:t>
            </w:r>
            <w:r>
              <w:rPr>
                <w:rStyle w:val="19"/>
                <w:rFonts w:eastAsia="宋体"/>
                <w:color w:val="auto"/>
                <w:lang w:bidi="ar"/>
              </w:rPr>
              <w:t>加工企业用地政策，对符合相关规划的项目，在安排新增用地年度计划指标时优先支持，在土地审批方面依法依规开辟“绿色”通道，保障项目建设用地。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支持在优先满足粮食和实用农产品生产基础上，利用一般耕地进行饲草料生产。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9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强化农业面源污染治理监督。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生态环境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加强畜禽养殖环境监管，严格落实环境影响评价制度和排污许可制度。</w:t>
            </w: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10</w:t>
            </w: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组织企业参加肉类产业博览会，促进产销对接，提升肉类消费品质，推动产业技术交流。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市商务局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各县市区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支持开展冷链物流项目建设，提升冷链物流对肉牛产业的服务水平。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Tahoma" w:cs="Times New Roman"/>
                <w:sz w:val="22"/>
              </w:rPr>
            </w:pPr>
            <w:r>
              <w:rPr>
                <w:rFonts w:hint="eastAsia" w:ascii="Times New Roman" w:hAnsi="Times New Roman" w:eastAsia="Tahoma" w:cs="Times New Roman"/>
                <w:kern w:val="0"/>
                <w:sz w:val="22"/>
                <w:lang w:bidi="ar"/>
              </w:rPr>
              <w:t>11</w:t>
            </w: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加大抽检监测和体系检查力度。对大中型企业开展体系检查，主动发现风险隐患，以问题为导向，及时对问题生产企业开展飞行检查，严厉查处违法违规行为，督促企业持续改进条件，提升产品质量。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市场监督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管理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Tahoma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hint="eastAsia"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大力实施地理标志运用促进工程，组织开展地理标志运营试点企业培育工作。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  <w:lang w:bidi="ar"/>
              </w:rPr>
              <w:t>2</w:t>
            </w:r>
          </w:p>
        </w:tc>
        <w:tc>
          <w:tcPr>
            <w:tcW w:w="10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引导各金融机构创新服务方式，健全担保体系，加大对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产业的中长期贷款支持力度。</w:t>
            </w:r>
          </w:p>
        </w:tc>
        <w:tc>
          <w:tcPr>
            <w:tcW w:w="1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市</w:t>
            </w:r>
            <w:r>
              <w:rPr>
                <w:rStyle w:val="19"/>
                <w:rFonts w:eastAsia="宋体"/>
                <w:color w:val="auto"/>
                <w:lang w:bidi="ar"/>
              </w:rPr>
              <w:t>金融局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Header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2"/>
                <w:lang w:bidi="ar"/>
              </w:rPr>
            </w:pPr>
          </w:p>
        </w:tc>
        <w:tc>
          <w:tcPr>
            <w:tcW w:w="107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创新多元化投入机制，促进金融资本和更多社会资本投入到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产业，推进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产业高质量发展。</w:t>
            </w:r>
          </w:p>
        </w:tc>
        <w:tc>
          <w:tcPr>
            <w:tcW w:w="1450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Times New Roman" w:hAnsi="Times New Roman" w:cs="Times New Roman"/>
                <w:kern w:val="0"/>
                <w:sz w:val="22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Header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eastAsia="宋体"/>
                <w:color w:val="auto"/>
                <w:lang w:bidi="ar"/>
              </w:rPr>
              <w:t>积极创新适合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肉牛</w:t>
            </w:r>
            <w:r>
              <w:rPr>
                <w:rStyle w:val="19"/>
                <w:rFonts w:eastAsia="宋体"/>
                <w:color w:val="auto"/>
                <w:lang w:bidi="ar"/>
              </w:rPr>
              <w:t>产业发展的信贷产品，加大金融支持力度</w:t>
            </w:r>
            <w:r>
              <w:rPr>
                <w:rStyle w:val="19"/>
                <w:rFonts w:hint="eastAsia" w:eastAsia="宋体"/>
                <w:color w:val="auto"/>
                <w:lang w:bidi="ar"/>
              </w:rPr>
              <w:t>。支持符合条件的肉牛产业企业股权融资和上市挂牌。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tblHeader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  <w:tc>
          <w:tcPr>
            <w:tcW w:w="107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Style w:val="19"/>
                <w:rFonts w:eastAsia="宋体"/>
                <w:color w:val="auto"/>
                <w:lang w:bidi="ar"/>
              </w:rPr>
            </w:pPr>
            <w:r>
              <w:rPr>
                <w:rStyle w:val="19"/>
                <w:rFonts w:hint="eastAsia" w:eastAsia="宋体"/>
                <w:color w:val="auto"/>
                <w:lang w:bidi="ar"/>
              </w:rPr>
              <w:t>借助宁夏企业融资服务平台功能，促进相关企业融资。</w:t>
            </w:r>
          </w:p>
        </w:tc>
        <w:tc>
          <w:tcPr>
            <w:tcW w:w="14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Times New Roman" w:hAnsi="Times New Roman" w:eastAsia="宋体" w:cs="Times New Roman"/>
                <w:sz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87" w:right="1417" w:bottom="147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- 7 -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FgAAAGRycy9QSwECFAAUAAAACACHTuJAs0lY7tAAAAAFAQAADwAAAAAAAAABACAAAAA4AAAAZHJz&#10;L2Rvd25yZXYueG1sUEsBAhQAFAAAAAgAh07iQF3UL1a9AQAAWwMAAA4AAAAAAAAAAQAgAAAANQ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- 7 -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MmZmYWJjMmQ0NWVhYzQ2ZWE2YmRiYTZlY2NjNGIifQ=="/>
  </w:docVars>
  <w:rsids>
    <w:rsidRoot w:val="02C915A2"/>
    <w:rsid w:val="02C915A2"/>
    <w:rsid w:val="36BB611A"/>
    <w:rsid w:val="3FFB41E9"/>
    <w:rsid w:val="59AB16B8"/>
    <w:rsid w:val="5ED11D7E"/>
    <w:rsid w:val="71EFBADE"/>
    <w:rsid w:val="7D5FE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next w:val="4"/>
    <w:qFormat/>
    <w:uiPriority w:val="0"/>
    <w:pPr>
      <w:ind w:left="200" w:firstLine="420" w:firstLineChars="200"/>
    </w:pPr>
    <w:rPr>
      <w:rFonts w:ascii="Times New Roman" w:hAnsi="仿宋" w:eastAsia="黑体"/>
      <w:b/>
      <w:szCs w:val="32"/>
    </w:rPr>
  </w:style>
  <w:style w:type="paragraph" w:customStyle="1" w:styleId="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styleId="4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Normal Indent"/>
    <w:basedOn w:val="1"/>
    <w:qFormat/>
    <w:uiPriority w:val="0"/>
    <w:pPr>
      <w:spacing w:line="300" w:lineRule="auto"/>
      <w:ind w:firstLine="420"/>
    </w:pPr>
    <w:rPr>
      <w:rFonts w:ascii="等线" w:hAnsi="等线" w:eastAsia="等线" w:cs="黑体"/>
      <w:sz w:val="24"/>
      <w:szCs w:val="22"/>
    </w:r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Salutation"/>
    <w:basedOn w:val="1"/>
    <w:next w:val="1"/>
    <w:qFormat/>
    <w:uiPriority w:val="0"/>
    <w:rPr>
      <w:rFonts w:ascii="华文楷体" w:hAnsi="华文楷体" w:eastAsia="华文楷体" w:cs="Times New Roman"/>
      <w:sz w:val="21"/>
      <w:szCs w:val="20"/>
    </w:rPr>
  </w:style>
  <w:style w:type="paragraph" w:styleId="8">
    <w:name w:val="footer"/>
    <w:basedOn w:val="1"/>
    <w:next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kern w:val="2"/>
      <w:sz w:val="18"/>
      <w:szCs w:val="18"/>
    </w:rPr>
  </w:style>
  <w:style w:type="paragraph" w:styleId="9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3">
    <w:name w:val="Salutation"/>
    <w:basedOn w:val="1"/>
    <w:next w:val="1"/>
    <w:qFormat/>
    <w:uiPriority w:val="0"/>
    <w:rPr>
      <w:rFonts w:ascii="华文楷体" w:hAnsi="华文楷体" w:eastAsia="华文楷体" w:cs="Times New Roman"/>
      <w:sz w:val="21"/>
      <w:szCs w:val="22"/>
    </w:rPr>
  </w:style>
  <w:style w:type="paragraph" w:customStyle="1" w:styleId="1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spacing w:line="560" w:lineRule="exact"/>
      <w:ind w:firstLine="740" w:firstLineChars="200"/>
      <w:jc w:val="left"/>
      <w:textAlignment w:val="baseline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黑体"/>
      <w:sz w:val="21"/>
      <w:szCs w:val="24"/>
    </w:rPr>
  </w:style>
  <w:style w:type="paragraph" w:customStyle="1" w:styleId="16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17">
    <w:name w:val="Normal Indent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21"/>
      <w:szCs w:val="24"/>
    </w:rPr>
  </w:style>
  <w:style w:type="character" w:customStyle="1" w:styleId="18">
    <w:name w:val="font51"/>
    <w:basedOn w:val="12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9">
    <w:name w:val="font21"/>
    <w:basedOn w:val="12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977</Words>
  <Characters>1085</Characters>
  <Lines>0</Lines>
  <Paragraphs>0</Paragraphs>
  <TotalTime>7</TotalTime>
  <ScaleCrop>false</ScaleCrop>
  <LinksUpToDate>false</LinksUpToDate>
  <CharactersWithSpaces>1163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2022-05-17T08:22:00Z</dcterms:created>
  <dc:creator>CRP</dc:creator>
  <cp:lastModifiedBy>kylin</cp:lastModifiedBy>
  <dcterms:modified xsi:type="dcterms:W3CDTF">2023-04-06T17:02:37Z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15DD7C2C76C84798A1896FFDC4BE4EDA</vt:lpwstr>
  </property>
</Properties>
</file>