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580" w:lineRule="exact"/>
        <w:ind w:right="0"/>
        <w:jc w:val="left"/>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right="0" w:firstLine="880" w:firstLineChars="200"/>
        <w:jc w:val="center"/>
        <w:textAlignment w:val="auto"/>
        <w:outlineLvl w:val="9"/>
        <w:rPr>
          <w:rFonts w:hint="eastAsia" w:ascii="方正小标宋简体" w:hAnsi="方正小标宋简体" w:eastAsia="方正小标宋简体" w:cs="方正小标宋简体"/>
          <w:spacing w:val="0"/>
          <w:kern w:val="2"/>
          <w:sz w:val="44"/>
          <w:szCs w:val="44"/>
          <w:lang w:val="en-US" w:eastAsia="zh-CN" w:bidi="ar-SA"/>
        </w:rPr>
      </w:pPr>
      <w:bookmarkStart w:id="0" w:name="_GoBack"/>
      <w:r>
        <w:rPr>
          <w:rFonts w:hint="eastAsia" w:ascii="方正小标宋简体" w:hAnsi="方正小标宋简体" w:eastAsia="方正小标宋简体" w:cs="方正小标宋简体"/>
          <w:spacing w:val="0"/>
          <w:kern w:val="2"/>
          <w:sz w:val="44"/>
          <w:szCs w:val="44"/>
          <w:lang w:val="en-US" w:eastAsia="zh-CN" w:bidi="ar-SA"/>
        </w:rPr>
        <w:t>药品安全监管检查</w:t>
      </w:r>
      <w:r>
        <w:rPr>
          <w:rFonts w:hint="eastAsia" w:ascii="方正小标宋简体" w:hAnsi="方正小标宋简体" w:eastAsia="方正小标宋简体" w:cs="方正小标宋简体"/>
          <w:spacing w:val="0"/>
          <w:kern w:val="2"/>
          <w:sz w:val="44"/>
          <w:szCs w:val="44"/>
          <w:u w:val="single"/>
          <w:lang w:val="en-US" w:eastAsia="zh-CN" w:bidi="ar-SA"/>
        </w:rPr>
        <w:t xml:space="preserve">      </w:t>
      </w:r>
      <w:r>
        <w:rPr>
          <w:rFonts w:hint="eastAsia" w:ascii="方正小标宋简体" w:hAnsi="方正小标宋简体" w:eastAsia="方正小标宋简体" w:cs="方正小标宋简体"/>
          <w:spacing w:val="0"/>
          <w:kern w:val="2"/>
          <w:sz w:val="44"/>
          <w:szCs w:val="44"/>
          <w:lang w:val="en-US" w:eastAsia="zh-CN" w:bidi="ar-SA"/>
        </w:rPr>
        <w:t>月统计表</w:t>
      </w:r>
    </w:p>
    <w:bookmarkEnd w:id="0"/>
    <w:p>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right="0" w:firstLine="0" w:firstLineChars="0"/>
        <w:textAlignment w:val="auto"/>
        <w:outlineLvl w:val="9"/>
        <w:rPr>
          <w:rFonts w:hint="default" w:ascii="仿宋" w:hAnsi="仿宋" w:eastAsia="仿宋" w:cs="Times New Roman"/>
          <w:spacing w:val="0"/>
          <w:kern w:val="2"/>
          <w:sz w:val="32"/>
          <w:szCs w:val="32"/>
          <w:u w:val="none"/>
          <w:lang w:val="en-US" w:eastAsia="zh-CN" w:bidi="ar-SA"/>
        </w:rPr>
      </w:pPr>
      <w:r>
        <w:rPr>
          <w:rFonts w:hint="eastAsia" w:ascii="仿宋" w:hAnsi="仿宋" w:eastAsia="仿宋" w:cs="Times New Roman"/>
          <w:spacing w:val="0"/>
          <w:kern w:val="2"/>
          <w:sz w:val="32"/>
          <w:szCs w:val="32"/>
          <w:lang w:val="en-US" w:eastAsia="zh-CN" w:bidi="ar-SA"/>
        </w:rPr>
        <w:t>填报单位：</w:t>
      </w:r>
      <w:r>
        <w:rPr>
          <w:rFonts w:hint="eastAsia" w:ascii="仿宋" w:hAnsi="仿宋" w:eastAsia="仿宋" w:cs="Times New Roman"/>
          <w:spacing w:val="0"/>
          <w:kern w:val="2"/>
          <w:sz w:val="32"/>
          <w:szCs w:val="32"/>
          <w:u w:val="single"/>
          <w:lang w:val="en-US" w:eastAsia="zh-CN" w:bidi="ar-SA"/>
        </w:rPr>
        <w:t xml:space="preserve">                             </w:t>
      </w:r>
      <w:r>
        <w:rPr>
          <w:rFonts w:hint="eastAsia" w:ascii="仿宋" w:hAnsi="仿宋" w:eastAsia="仿宋" w:cs="Times New Roman"/>
          <w:spacing w:val="0"/>
          <w:kern w:val="2"/>
          <w:sz w:val="32"/>
          <w:szCs w:val="32"/>
          <w:u w:val="none"/>
          <w:lang w:val="en-US" w:eastAsia="zh-CN" w:bidi="ar-SA"/>
        </w:rPr>
        <w:t xml:space="preserve">                   填报时间：     年   月   日</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7"/>
        <w:gridCol w:w="1146"/>
        <w:gridCol w:w="2350"/>
        <w:gridCol w:w="2153"/>
        <w:gridCol w:w="1971"/>
        <w:gridCol w:w="3226"/>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6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检查单位</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sz w:val="28"/>
                <w:szCs w:val="28"/>
                <w:u w:val="none"/>
              </w:rPr>
            </w:pPr>
            <w:r>
              <w:rPr>
                <w:rFonts w:hint="eastAsia" w:ascii="宋体" w:hAnsi="宋体" w:eastAsia="宋体" w:cs="宋体"/>
                <w:b w:val="0"/>
                <w:bCs w:val="0"/>
                <w:i w:val="0"/>
                <w:iCs w:val="0"/>
                <w:color w:val="000000"/>
                <w:spacing w:val="0"/>
                <w:kern w:val="0"/>
                <w:sz w:val="28"/>
                <w:szCs w:val="28"/>
                <w:u w:val="none"/>
                <w:lang w:val="en-US" w:eastAsia="zh-CN"/>
              </w:rPr>
              <w:t>类型</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检查</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sz w:val="28"/>
                <w:szCs w:val="28"/>
                <w:u w:val="none"/>
              </w:rPr>
            </w:pPr>
            <w:r>
              <w:rPr>
                <w:rFonts w:hint="eastAsia" w:ascii="宋体" w:hAnsi="宋体" w:eastAsia="宋体" w:cs="宋体"/>
                <w:b w:val="0"/>
                <w:bCs w:val="0"/>
                <w:i w:val="0"/>
                <w:iCs w:val="0"/>
                <w:color w:val="000000"/>
                <w:spacing w:val="0"/>
                <w:kern w:val="0"/>
                <w:sz w:val="28"/>
                <w:szCs w:val="28"/>
                <w:u w:val="none"/>
                <w:lang w:val="en-US" w:eastAsia="zh-CN"/>
              </w:rPr>
              <w:t>总数</w:t>
            </w:r>
          </w:p>
        </w:tc>
        <w:tc>
          <w:tcPr>
            <w:tcW w:w="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责令整改单位</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sz w:val="28"/>
                <w:szCs w:val="28"/>
                <w:u w:val="none"/>
              </w:rPr>
            </w:pPr>
            <w:r>
              <w:rPr>
                <w:rFonts w:hint="eastAsia" w:ascii="宋体" w:hAnsi="宋体" w:eastAsia="宋体" w:cs="宋体"/>
                <w:b w:val="0"/>
                <w:bCs w:val="0"/>
                <w:i w:val="0"/>
                <w:iCs w:val="0"/>
                <w:color w:val="000000"/>
                <w:spacing w:val="0"/>
                <w:kern w:val="0"/>
                <w:sz w:val="28"/>
                <w:szCs w:val="28"/>
                <w:u w:val="none"/>
                <w:lang w:val="en-US" w:eastAsia="zh-CN"/>
              </w:rPr>
              <w:t>及原因</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给予警告单位</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sz w:val="28"/>
                <w:szCs w:val="28"/>
                <w:u w:val="none"/>
              </w:rPr>
            </w:pPr>
            <w:r>
              <w:rPr>
                <w:rFonts w:hint="eastAsia" w:ascii="宋体" w:hAnsi="宋体" w:eastAsia="宋体" w:cs="宋体"/>
                <w:b w:val="0"/>
                <w:bCs w:val="0"/>
                <w:i w:val="0"/>
                <w:iCs w:val="0"/>
                <w:color w:val="000000"/>
                <w:spacing w:val="0"/>
                <w:kern w:val="0"/>
                <w:sz w:val="28"/>
                <w:szCs w:val="28"/>
                <w:u w:val="none"/>
                <w:lang w:val="en-US" w:eastAsia="zh-CN"/>
              </w:rPr>
              <w:t>及原因</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当场罚款单位</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sz w:val="28"/>
                <w:szCs w:val="28"/>
                <w:u w:val="none"/>
              </w:rPr>
            </w:pPr>
            <w:r>
              <w:rPr>
                <w:rFonts w:hint="eastAsia" w:ascii="宋体" w:hAnsi="宋体" w:eastAsia="宋体" w:cs="宋体"/>
                <w:b w:val="0"/>
                <w:bCs w:val="0"/>
                <w:i w:val="0"/>
                <w:iCs w:val="0"/>
                <w:color w:val="000000"/>
                <w:spacing w:val="0"/>
                <w:kern w:val="0"/>
                <w:sz w:val="28"/>
                <w:szCs w:val="28"/>
                <w:u w:val="none"/>
                <w:lang w:val="en-US" w:eastAsia="zh-CN"/>
              </w:rPr>
              <w:t>及原因</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被立案调查单位、原因</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sz w:val="28"/>
                <w:szCs w:val="28"/>
                <w:u w:val="none"/>
              </w:rPr>
            </w:pPr>
            <w:r>
              <w:rPr>
                <w:rFonts w:hint="eastAsia" w:ascii="宋体" w:hAnsi="宋体" w:eastAsia="宋体" w:cs="宋体"/>
                <w:b w:val="0"/>
                <w:bCs w:val="0"/>
                <w:i w:val="0"/>
                <w:iCs w:val="0"/>
                <w:color w:val="000000"/>
                <w:spacing w:val="0"/>
                <w:kern w:val="0"/>
                <w:sz w:val="28"/>
                <w:szCs w:val="28"/>
                <w:u w:val="none"/>
                <w:lang w:val="en-US" w:eastAsia="zh-CN"/>
              </w:rPr>
              <w:t>及处罚金额</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6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零售药店</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6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医疗机构</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（含诊所、</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村卫生室等）</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kern w:val="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6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spacing w:val="0"/>
                <w:kern w:val="0"/>
                <w:sz w:val="28"/>
                <w:szCs w:val="28"/>
                <w:u w:val="none"/>
                <w:lang w:val="en-US" w:eastAsia="zh-CN"/>
              </w:rPr>
            </w:pPr>
            <w:r>
              <w:rPr>
                <w:rFonts w:hint="eastAsia" w:ascii="宋体" w:hAnsi="宋体" w:eastAsia="宋体" w:cs="宋体"/>
                <w:b w:val="0"/>
                <w:bCs w:val="0"/>
                <w:i w:val="0"/>
                <w:iCs w:val="0"/>
                <w:color w:val="000000"/>
                <w:spacing w:val="0"/>
                <w:kern w:val="0"/>
                <w:sz w:val="28"/>
                <w:szCs w:val="28"/>
                <w:u w:val="none"/>
                <w:lang w:val="en-US" w:eastAsia="zh-CN"/>
              </w:rPr>
              <w:t>连锁总部或批发公司</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r>
              <w:rPr>
                <w:rFonts w:hint="eastAsia" w:ascii="宋体" w:hAnsi="宋体" w:eastAsia="宋体" w:cs="宋体"/>
                <w:b w:val="0"/>
                <w:bCs w:val="0"/>
                <w:i w:val="0"/>
                <w:iCs w:val="0"/>
                <w:color w:val="000000"/>
                <w:spacing w:val="0"/>
                <w:kern w:val="0"/>
                <w:sz w:val="28"/>
                <w:szCs w:val="28"/>
                <w:u w:val="none"/>
                <w:lang w:val="en-US" w:eastAsia="zh-CN"/>
              </w:rPr>
              <w:t>（延伸检查）</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8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1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sz w:val="28"/>
                <w:szCs w:val="28"/>
                <w:u w:val="none"/>
              </w:rPr>
            </w:pPr>
          </w:p>
        </w:tc>
        <w:tc>
          <w:tcPr>
            <w:tcW w:w="5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pacing w:val="0"/>
                <w:kern w:val="0"/>
                <w:sz w:val="28"/>
                <w:szCs w:val="28"/>
                <w:u w:val="none"/>
                <w:lang w:val="en-US" w:eastAsia="zh-CN"/>
              </w:rPr>
            </w:pPr>
          </w:p>
        </w:tc>
      </w:tr>
    </w:tbl>
    <w:p>
      <w:pPr>
        <w:pStyle w:val="3"/>
        <w:keepNext w:val="0"/>
        <w:keepLines w:val="0"/>
        <w:pageBreakBefore w:val="0"/>
        <w:widowControl w:val="0"/>
        <w:kinsoku/>
        <w:wordWrap/>
        <w:overflowPunct/>
        <w:topLinePunct w:val="0"/>
        <w:autoSpaceDE/>
        <w:autoSpaceDN/>
        <w:bidi w:val="0"/>
        <w:adjustRightInd/>
        <w:snapToGrid/>
        <w:spacing w:after="0" w:line="100" w:lineRule="exact"/>
        <w:ind w:left="0" w:leftChars="0" w:right="0" w:firstLine="640" w:firstLineChars="200"/>
        <w:textAlignment w:val="auto"/>
        <w:outlineLvl w:val="9"/>
        <w:rPr>
          <w:rFonts w:hint="eastAsia" w:ascii="仿宋" w:hAnsi="仿宋" w:eastAsia="仿宋" w:cs="Times New Roman"/>
          <w:spacing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textAlignment w:val="auto"/>
        <w:outlineLvl w:val="9"/>
        <w:rPr>
          <w:rFonts w:hint="default" w:ascii="仿宋" w:hAnsi="仿宋" w:eastAsia="仿宋" w:cs="Times New Roman"/>
          <w:spacing w:val="0"/>
          <w:kern w:val="2"/>
          <w:sz w:val="32"/>
          <w:szCs w:val="32"/>
          <w:lang w:val="en-US" w:eastAsia="zh-CN" w:bidi="ar-SA"/>
        </w:rPr>
        <w:sectPr>
          <w:pgSz w:w="16838" w:h="11906" w:orient="landscape"/>
          <w:pgMar w:top="1417" w:right="1417" w:bottom="1417" w:left="1417" w:header="851" w:footer="1134" w:gutter="0"/>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kern w:val="0"/>
          <w:sz w:val="44"/>
          <w:szCs w:val="44"/>
        </w:rPr>
      </w:pPr>
      <w:r>
        <w:rPr>
          <w:rFonts w:hint="eastAsia" w:ascii="方正小标宋简体" w:hAnsi="方正小标宋简体" w:eastAsia="方正小标宋简体" w:cs="方正小标宋简体"/>
          <w:spacing w:val="0"/>
          <w:kern w:val="0"/>
          <w:sz w:val="44"/>
          <w:szCs w:val="44"/>
        </w:rPr>
        <w:t>药品经营使用</w:t>
      </w:r>
      <w:r>
        <w:rPr>
          <w:rFonts w:hint="eastAsia" w:ascii="方正小标宋简体" w:hAnsi="方正小标宋简体" w:eastAsia="方正小标宋简体" w:cs="方正小标宋简体"/>
          <w:spacing w:val="0"/>
          <w:kern w:val="0"/>
          <w:sz w:val="44"/>
          <w:szCs w:val="44"/>
          <w:lang w:eastAsia="zh-CN"/>
        </w:rPr>
        <w:t>单位</w:t>
      </w:r>
      <w:r>
        <w:rPr>
          <w:rFonts w:hint="eastAsia" w:ascii="方正小标宋简体" w:hAnsi="方正小标宋简体" w:eastAsia="方正小标宋简体" w:cs="方正小标宋简体"/>
          <w:spacing w:val="0"/>
          <w:kern w:val="0"/>
          <w:sz w:val="44"/>
          <w:szCs w:val="44"/>
        </w:rPr>
        <w:t>监督检查</w:t>
      </w:r>
      <w:r>
        <w:rPr>
          <w:rFonts w:hint="eastAsia" w:ascii="方正小标宋简体" w:hAnsi="方正小标宋简体" w:eastAsia="方正小标宋简体" w:cs="方正小标宋简体"/>
          <w:spacing w:val="0"/>
          <w:kern w:val="0"/>
          <w:sz w:val="44"/>
          <w:szCs w:val="44"/>
          <w:lang w:eastAsia="zh-CN"/>
        </w:rPr>
        <w:t>重点</w:t>
      </w:r>
      <w:r>
        <w:rPr>
          <w:rFonts w:hint="eastAsia" w:ascii="方正小标宋简体" w:hAnsi="方正小标宋简体" w:eastAsia="方正小标宋简体" w:cs="方正小标宋简体"/>
          <w:spacing w:val="0"/>
          <w:kern w:val="0"/>
          <w:sz w:val="44"/>
          <w:szCs w:val="44"/>
        </w:rPr>
        <w:t>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8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shd w:val="clear" w:color="auto" w:fill="FFFFFF"/>
              </w:rPr>
              <w:t>检查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shd w:val="clear" w:color="auto" w:fill="FFFFFF"/>
              </w:rPr>
              <w:t>对象</w:t>
            </w:r>
          </w:p>
        </w:tc>
        <w:tc>
          <w:tcPr>
            <w:tcW w:w="82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shd w:val="clear" w:color="auto" w:fill="FFFFFF"/>
              </w:rPr>
              <w:t>检查</w:t>
            </w:r>
            <w:r>
              <w:rPr>
                <w:rFonts w:hint="eastAsia" w:ascii="宋体" w:hAnsi="宋体" w:eastAsia="宋体" w:cs="宋体"/>
                <w:spacing w:val="0"/>
                <w:sz w:val="24"/>
                <w:szCs w:val="24"/>
                <w:shd w:val="clear" w:color="auto" w:fill="FFFFFF"/>
                <w:lang w:eastAsia="zh-CN"/>
              </w:rPr>
              <w:t>重点</w:t>
            </w:r>
            <w:r>
              <w:rPr>
                <w:rFonts w:hint="eastAsia" w:ascii="宋体" w:hAnsi="宋体" w:eastAsia="宋体" w:cs="宋体"/>
                <w:spacing w:val="0"/>
                <w:sz w:val="24"/>
                <w:szCs w:val="24"/>
                <w:shd w:val="clear" w:color="auto" w:fill="FFFFFF"/>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药品批发企业</w:t>
            </w:r>
          </w:p>
        </w:tc>
        <w:tc>
          <w:tcPr>
            <w:tcW w:w="8271" w:type="dxa"/>
            <w:noWrap w:val="0"/>
            <w:vAlign w:val="center"/>
          </w:tcPr>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是否从无《药品生产许可证》《药品经营许可证》的单位或非法渠道购进药品。</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是否向无合法资质的单位或者个人销售药品。</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是否存在擅自改变</w:t>
            </w:r>
            <w:r>
              <w:rPr>
                <w:rFonts w:hint="eastAsia" w:ascii="宋体" w:hAnsi="宋体" w:eastAsia="宋体" w:cs="宋体"/>
                <w:spacing w:val="0"/>
                <w:kern w:val="0"/>
                <w:sz w:val="24"/>
                <w:szCs w:val="24"/>
                <w:lang w:eastAsia="zh-CN"/>
              </w:rPr>
              <w:t>仓库</w:t>
            </w:r>
            <w:r>
              <w:rPr>
                <w:rFonts w:hint="eastAsia" w:ascii="宋体" w:hAnsi="宋体" w:eastAsia="宋体" w:cs="宋体"/>
                <w:spacing w:val="0"/>
                <w:kern w:val="0"/>
                <w:sz w:val="24"/>
                <w:szCs w:val="24"/>
              </w:rPr>
              <w:t>地址、经营方式、经营范围销售药品。</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是否为他人违法经营药品提供场所、资质证明文件、票据等条件。</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是否存在伪造药品采购来源、虚构药品销售流向、篡改计算机系统和温湿度监测系统数据，是否存在隐瞒真实药品购销存记录、票据、凭证、数据等行为，药品购销存记录是否完整、真实，经营行为是否可追溯。</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购销药品时，证、票、账、货、款是否相互对应一致。</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是否存在药品未入库、设立账外账、药品未纳入企业质量体系管理、使用银行个人账户进行业务往来等情形。</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执业药师等专业技术人员是否存在挂证、兼职和履职尽责不到位的情况。</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是否存在药品经营活动与质量管理体系文件不相对应、计算机管理系统设置不符合GSP要求等情形。</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互联网销售药品是否按照“线上线下一致”等相关规定进行。</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药品配送经营管理是否存在违反相关法规规章的行为。</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是否存在非法分装、加工或贴签销售外购中药饮片、超范围经营毒性中药饮片等违法违规行为。</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实施远程审方的药品零售连锁总部远程视频传输设施设备是否符合要求，是否建立远程审方管理制度体系，处方审核是否规范且信息是否留存完整可追溯，远程审方室执业药师资质和人数配备是否符合要求。</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药品追溯体系建设和执行</w:t>
            </w:r>
            <w:r>
              <w:rPr>
                <w:rFonts w:hint="eastAsia" w:ascii="宋体" w:hAnsi="宋体" w:eastAsia="宋体" w:cs="宋体"/>
                <w:spacing w:val="0"/>
                <w:kern w:val="0"/>
                <w:sz w:val="24"/>
                <w:szCs w:val="24"/>
                <w:lang w:eastAsia="zh-CN"/>
              </w:rPr>
              <w:t>是否符合规定</w:t>
            </w:r>
            <w:r>
              <w:rPr>
                <w:rFonts w:hint="eastAsia" w:ascii="宋体" w:hAnsi="宋体" w:eastAsia="宋体" w:cs="宋体"/>
                <w:spacing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0"/>
                <w:sz w:val="24"/>
                <w:szCs w:val="24"/>
                <w:shd w:val="clear" w:color="auto" w:fill="FFFFFF"/>
                <w:lang w:eastAsia="zh-CN"/>
              </w:rPr>
            </w:pPr>
            <w:r>
              <w:rPr>
                <w:rFonts w:hint="eastAsia" w:ascii="宋体" w:hAnsi="宋体" w:eastAsia="宋体" w:cs="宋体"/>
                <w:spacing w:val="0"/>
                <w:kern w:val="0"/>
                <w:sz w:val="24"/>
                <w:szCs w:val="24"/>
                <w:lang w:eastAsia="zh-CN"/>
              </w:rPr>
              <w:t>零售药店</w:t>
            </w:r>
          </w:p>
        </w:tc>
        <w:tc>
          <w:tcPr>
            <w:tcW w:w="8271" w:type="dxa"/>
            <w:noWrap w:val="0"/>
            <w:vAlign w:val="center"/>
          </w:tcPr>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是否严格按照经营范围购销药品，购进渠道是否合法，营业场所是否与其药品经营范围、经营规模相适应，是否存在私设库房或者变相从事药品批发活动的行为。</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是否按包装标示的温度等要求储存药品，经营冷藏药品是否有专用冷藏设备。</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是否购进销售回收药品，采购药品是否按规定索取发票，证、票、账、货、款是否相符一致；是否违规销售含麻黄碱类复方制剂等。</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是否按照相关规定购销中药饮片。</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是否按规定设置计算机管理系统。</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是否存在执业药师“挂证”行为，执业药师是否有效履职。</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是否严格执行处方药、非处方药管理规定。</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w:t>
            </w:r>
            <w:r>
              <w:rPr>
                <w:rFonts w:hint="eastAsia" w:ascii="宋体" w:hAnsi="宋体" w:eastAsia="宋体" w:cs="宋体"/>
                <w:spacing w:val="0"/>
                <w:kern w:val="0"/>
                <w:sz w:val="24"/>
                <w:szCs w:val="24"/>
                <w:lang w:eastAsia="zh-CN"/>
              </w:rPr>
              <w:t>严格执行疫情防控相关规定</w:t>
            </w:r>
            <w:r>
              <w:rPr>
                <w:rFonts w:hint="eastAsia" w:ascii="宋体" w:hAnsi="宋体" w:eastAsia="宋体" w:cs="宋体"/>
                <w:spacing w:val="0"/>
                <w:kern w:val="0"/>
                <w:sz w:val="24"/>
                <w:szCs w:val="24"/>
              </w:rPr>
              <w:t>。</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是否对过期药品进行严格管理。</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连锁门店是否按照零售连锁企业的相关标准开展经营活动等。</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实施远程审方的药品零售连锁门店远程视频传输设施设备是否符合要求，是否建立门店远程审方管理制度，处方审核是否规范，处方信息是否留存完整并可追溯，门店药学技术人员资质和人数配备是否符合要求。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0"/>
                <w:sz w:val="24"/>
                <w:szCs w:val="24"/>
                <w:shd w:val="clear" w:color="auto" w:fill="FFFFFF"/>
                <w:lang w:eastAsia="zh-CN"/>
              </w:rPr>
            </w:pPr>
            <w:r>
              <w:rPr>
                <w:rFonts w:hint="eastAsia" w:ascii="宋体" w:hAnsi="宋体" w:eastAsia="宋体" w:cs="宋体"/>
                <w:spacing w:val="0"/>
                <w:kern w:val="0"/>
                <w:sz w:val="24"/>
                <w:szCs w:val="24"/>
                <w:lang w:eastAsia="zh-CN"/>
              </w:rPr>
              <w:t>医疗机构</w:t>
            </w:r>
          </w:p>
        </w:tc>
        <w:tc>
          <w:tcPr>
            <w:tcW w:w="8271" w:type="dxa"/>
            <w:noWrap w:val="0"/>
            <w:vAlign w:val="center"/>
          </w:tcPr>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eastAsia="zh-CN"/>
              </w:rPr>
              <w:t>是否按规定配备依法经过资格认定的药师或者其他药学技术人员。</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建立并实施药品追溯制度、建立并执行进货检查验收制度、药品保管制度</w:t>
            </w:r>
            <w:r>
              <w:rPr>
                <w:rFonts w:hint="eastAsia" w:ascii="宋体" w:hAnsi="宋体" w:eastAsia="宋体" w:cs="宋体"/>
                <w:spacing w:val="0"/>
                <w:kern w:val="0"/>
                <w:sz w:val="24"/>
                <w:szCs w:val="24"/>
                <w:lang w:eastAsia="zh-CN"/>
              </w:rPr>
              <w:t>。</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是否具有与所使用药品相适应的场所、设备、仓储设施。</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是否存在非法渠道购进药品或者变相从事药品批发活动的行为。</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是否</w:t>
            </w:r>
            <w:r>
              <w:rPr>
                <w:rFonts w:hint="eastAsia" w:ascii="宋体" w:hAnsi="宋体" w:eastAsia="宋体" w:cs="宋体"/>
                <w:spacing w:val="0"/>
                <w:kern w:val="0"/>
                <w:sz w:val="24"/>
                <w:szCs w:val="24"/>
                <w:lang w:eastAsia="zh-CN"/>
              </w:rPr>
              <w:t>存在</w:t>
            </w:r>
            <w:r>
              <w:rPr>
                <w:rFonts w:hint="eastAsia" w:ascii="宋体" w:hAnsi="宋体" w:eastAsia="宋体" w:cs="宋体"/>
                <w:spacing w:val="0"/>
                <w:kern w:val="0"/>
                <w:sz w:val="24"/>
                <w:szCs w:val="24"/>
              </w:rPr>
              <w:t>超诊疗范围使用药品或者未凭处方变相</w:t>
            </w:r>
            <w:r>
              <w:rPr>
                <w:rFonts w:hint="eastAsia" w:ascii="宋体" w:hAnsi="宋体" w:eastAsia="宋体" w:cs="宋体"/>
                <w:spacing w:val="0"/>
                <w:kern w:val="0"/>
                <w:sz w:val="24"/>
                <w:szCs w:val="24"/>
                <w:lang w:eastAsia="zh-CN"/>
              </w:rPr>
              <w:t>经营</w:t>
            </w:r>
            <w:r>
              <w:rPr>
                <w:rFonts w:hint="eastAsia" w:ascii="宋体" w:hAnsi="宋体" w:eastAsia="宋体" w:cs="宋体"/>
                <w:spacing w:val="0"/>
                <w:kern w:val="0"/>
                <w:sz w:val="24"/>
                <w:szCs w:val="24"/>
              </w:rPr>
              <w:t>药品的行为。</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购进药品是否建立真实、完整的购进记录，是否按规定索取发票，证、票、账、货、款是否相互一致。</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是否购进和使用不符合规定要求的药品。</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购进使用中药饮片是否符合相关规定。</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是否按相关规定存储药品。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疫苗配送企业</w:t>
            </w:r>
          </w:p>
        </w:tc>
        <w:tc>
          <w:tcPr>
            <w:tcW w:w="8271"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是否与疫苗生产企业或进口疫苗代理商订立疫苗运输冷链质量保证协议，明确双方疫苗冷链控制责任和义务。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储存疫苗的冷库是否配有自动监测、调控、显示、记录温度状况以及报警功能的设备。冷库是否有备用制冷机组、备用发电机组或安装双路电路。</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是否索取并保存疫苗《生物制品批签发合格证》、《进口药品通关单》、疫苗运输温度监测记录单据等资料。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疫苗储存、运输过程温度监测记录是否真实、完整，</w:t>
            </w:r>
            <w:r>
              <w:rPr>
                <w:rFonts w:hint="eastAsia" w:ascii="宋体" w:hAnsi="宋体" w:eastAsia="宋体" w:cs="宋体"/>
                <w:color w:val="000000"/>
                <w:spacing w:val="0"/>
                <w:sz w:val="24"/>
                <w:szCs w:val="24"/>
                <w:lang w:val="en-US" w:eastAsia="zh-CN"/>
              </w:rPr>
              <w:t>《疫苗运输温度记录表》填写应当真实、准确、规范，由运送、接收双方当事人签字确认，在途运输自动温度监测记录应即时打印，填写运输车辆车牌号码并由双方签字后一并存档，打印小票属于热敏纸的，为防止字迹消退无法识别，应当复印后保存。</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对不合格疫苗</w:t>
            </w:r>
            <w:r>
              <w:rPr>
                <w:rFonts w:hint="eastAsia" w:ascii="宋体" w:hAnsi="宋体" w:eastAsia="宋体" w:cs="宋体"/>
                <w:spacing w:val="0"/>
                <w:kern w:val="0"/>
                <w:sz w:val="24"/>
                <w:szCs w:val="24"/>
              </w:rPr>
              <w:t>（包括</w:t>
            </w:r>
            <w:r>
              <w:rPr>
                <w:rFonts w:hint="eastAsia" w:ascii="宋体" w:hAnsi="宋体" w:eastAsia="宋体" w:cs="宋体"/>
                <w:spacing w:val="0"/>
                <w:sz w:val="24"/>
                <w:szCs w:val="24"/>
                <w:shd w:val="clear" w:color="auto" w:fill="FFFFFF"/>
              </w:rPr>
              <w:t>包装无法识别、储存温度不符合要求、超过有效期等，下同</w:t>
            </w:r>
            <w:r>
              <w:rPr>
                <w:rFonts w:hint="eastAsia" w:ascii="宋体" w:hAnsi="宋体" w:eastAsia="宋体" w:cs="宋体"/>
                <w:spacing w:val="0"/>
                <w:kern w:val="0"/>
                <w:sz w:val="24"/>
                <w:szCs w:val="24"/>
              </w:rPr>
              <w:t>）是否采取隔离存放、暂停发货，并标注相应警示标志等措施</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5" w:hRule="atLeast"/>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疾</w:t>
            </w:r>
            <w:r>
              <w:rPr>
                <w:rFonts w:hint="eastAsia" w:ascii="宋体" w:hAnsi="宋体" w:eastAsia="宋体" w:cs="宋体"/>
                <w:spacing w:val="0"/>
                <w:kern w:val="0"/>
                <w:sz w:val="24"/>
                <w:szCs w:val="24"/>
                <w:lang w:eastAsia="zh-CN"/>
              </w:rPr>
              <w:t>病预防</w:t>
            </w:r>
            <w:r>
              <w:rPr>
                <w:rFonts w:hint="eastAsia" w:ascii="宋体" w:hAnsi="宋体" w:eastAsia="宋体" w:cs="宋体"/>
                <w:spacing w:val="0"/>
                <w:kern w:val="0"/>
                <w:sz w:val="24"/>
                <w:szCs w:val="24"/>
              </w:rPr>
              <w:t>控</w:t>
            </w:r>
            <w:r>
              <w:rPr>
                <w:rFonts w:hint="eastAsia" w:ascii="宋体" w:hAnsi="宋体" w:eastAsia="宋体" w:cs="宋体"/>
                <w:spacing w:val="0"/>
                <w:kern w:val="0"/>
                <w:sz w:val="24"/>
                <w:szCs w:val="24"/>
                <w:lang w:eastAsia="zh-CN"/>
              </w:rPr>
              <w:t>制</w:t>
            </w:r>
            <w:r>
              <w:rPr>
                <w:rFonts w:hint="eastAsia" w:ascii="宋体" w:hAnsi="宋体" w:eastAsia="宋体" w:cs="宋体"/>
                <w:spacing w:val="0"/>
                <w:kern w:val="0"/>
                <w:sz w:val="24"/>
                <w:szCs w:val="24"/>
              </w:rPr>
              <w:t>机构</w:t>
            </w:r>
          </w:p>
        </w:tc>
        <w:tc>
          <w:tcPr>
            <w:tcW w:w="8271"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shd w:val="clear" w:color="auto" w:fill="FFFFFF"/>
              </w:rPr>
              <w:t>是否按规定建立真实、完整的疫苗购进、储存、分发、供应记录，并保存至超过疫苗有效期</w:t>
            </w:r>
            <w:r>
              <w:rPr>
                <w:rFonts w:hint="eastAsia" w:ascii="宋体" w:hAnsi="宋体" w:eastAsia="宋体" w:cs="宋体"/>
                <w:spacing w:val="0"/>
                <w:sz w:val="24"/>
                <w:szCs w:val="24"/>
                <w:shd w:val="clear" w:color="auto" w:fill="FFFFFF"/>
                <w:lang w:val="en-US" w:eastAsia="zh-CN"/>
              </w:rPr>
              <w:t>5</w:t>
            </w:r>
            <w:r>
              <w:rPr>
                <w:rFonts w:hint="eastAsia" w:ascii="宋体" w:hAnsi="宋体" w:eastAsia="宋体" w:cs="宋体"/>
                <w:spacing w:val="0"/>
                <w:sz w:val="24"/>
                <w:szCs w:val="24"/>
                <w:shd w:val="clear" w:color="auto" w:fill="FFFFFF"/>
              </w:rPr>
              <w:t>年备查，购进疫苗是否做到票、账、货、款一致。</w:t>
            </w:r>
          </w:p>
          <w:p>
            <w:pPr>
              <w:keepNext w:val="0"/>
              <w:keepLines w:val="0"/>
              <w:pageBreakBefore w:val="0"/>
              <w:widowControl w:val="0"/>
              <w:numPr>
                <w:ilvl w:val="0"/>
                <w:numId w:val="5"/>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是否根据储存、供应、运输疫苗的需要配备冷库、冷藏运输车(疫苗运输车)、冰柜（箱）或冷藏箱（包）、温度监测器材或设备等。</w:t>
            </w:r>
          </w:p>
          <w:p>
            <w:pPr>
              <w:keepNext w:val="0"/>
              <w:keepLines w:val="0"/>
              <w:pageBreakBefore w:val="0"/>
              <w:widowControl w:val="0"/>
              <w:numPr>
                <w:ilvl w:val="0"/>
                <w:numId w:val="5"/>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6"/>
                <w:sz w:val="24"/>
                <w:szCs w:val="24"/>
              </w:rPr>
              <w:t>冷库容积是否与储存需求相适应，是否有备用制冷机组、备用发电机组或安装双路电路，并配有自动监测、调控、显示、记录温度状况以及报警的设备。</w:t>
            </w:r>
          </w:p>
          <w:p>
            <w:pPr>
              <w:keepNext w:val="0"/>
              <w:keepLines w:val="0"/>
              <w:pageBreakBefore w:val="0"/>
              <w:widowControl w:val="0"/>
              <w:numPr>
                <w:ilvl w:val="0"/>
                <w:numId w:val="5"/>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冷藏运输车是否具备自动调控、显示和记录温度状况的功能。</w:t>
            </w:r>
          </w:p>
          <w:p>
            <w:pPr>
              <w:keepNext w:val="0"/>
              <w:keepLines w:val="0"/>
              <w:pageBreakBefore w:val="0"/>
              <w:widowControl w:val="0"/>
              <w:numPr>
                <w:ilvl w:val="0"/>
                <w:numId w:val="5"/>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疫苗运输车的</w:t>
            </w:r>
            <w:r>
              <w:rPr>
                <w:rFonts w:hint="eastAsia" w:ascii="宋体" w:hAnsi="宋体" w:eastAsia="宋体" w:cs="宋体"/>
                <w:spacing w:val="0"/>
                <w:sz w:val="24"/>
                <w:szCs w:val="24"/>
                <w:shd w:val="clear" w:color="auto" w:fill="FFFFFF"/>
              </w:rPr>
              <w:t>车载冷藏箱及保温箱的补充更新是否选用具有外部显示和采集箱体内温度数据的功能。</w:t>
            </w:r>
          </w:p>
          <w:p>
            <w:pPr>
              <w:keepNext w:val="0"/>
              <w:keepLines w:val="0"/>
              <w:pageBreakBefore w:val="0"/>
              <w:widowControl w:val="0"/>
              <w:numPr>
                <w:ilvl w:val="0"/>
                <w:numId w:val="5"/>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是否索取疫苗《生物制品批签发合格证》、《进口药品通关单》、冷链运输全过程温度自动监测记录单据等资料。</w:t>
            </w:r>
          </w:p>
          <w:p>
            <w:pPr>
              <w:keepNext w:val="0"/>
              <w:keepLines w:val="0"/>
              <w:pageBreakBefore w:val="0"/>
              <w:widowControl w:val="0"/>
              <w:numPr>
                <w:ilvl w:val="0"/>
                <w:numId w:val="5"/>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是否如实、规范记录疫苗储存、运输过程温度监测数据。对冷库、冰箱等设备是否填写《冷链设备温度记录表》，其记录是否真实、完整。</w:t>
            </w:r>
          </w:p>
          <w:p>
            <w:pPr>
              <w:keepNext w:val="0"/>
              <w:keepLines w:val="0"/>
              <w:pageBreakBefore w:val="0"/>
              <w:widowControl w:val="0"/>
              <w:numPr>
                <w:ilvl w:val="0"/>
                <w:numId w:val="5"/>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在疫苗运输过程，是否填写《疫苗运输温度记录表》，</w:t>
            </w:r>
            <w:r>
              <w:rPr>
                <w:rFonts w:hint="eastAsia" w:ascii="宋体" w:hAnsi="宋体" w:eastAsia="宋体" w:cs="宋体"/>
                <w:color w:val="000000"/>
                <w:spacing w:val="0"/>
                <w:sz w:val="24"/>
                <w:szCs w:val="24"/>
                <w:lang w:val="en-US" w:eastAsia="zh-CN"/>
              </w:rPr>
              <w:t>《疫苗运输温度记录表》填写应当真实、准确、规范，由运送、接收双方当事人签字确认，在途运输自动温度监测记录应即时打印，填写运输车辆车牌号码并由双方签字后一并存档，打印小票属于热敏纸的，为防止字迹消退无法识别，应当复印后保存。</w:t>
            </w:r>
          </w:p>
          <w:p>
            <w:pPr>
              <w:keepNext w:val="0"/>
              <w:keepLines w:val="0"/>
              <w:pageBreakBefore w:val="0"/>
              <w:widowControl w:val="0"/>
              <w:numPr>
                <w:ilvl w:val="0"/>
                <w:numId w:val="5"/>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6"/>
                <w:sz w:val="24"/>
                <w:szCs w:val="24"/>
              </w:rPr>
              <w:t>不合格疫苗</w:t>
            </w:r>
            <w:r>
              <w:rPr>
                <w:rFonts w:hint="eastAsia" w:ascii="宋体" w:hAnsi="宋体" w:eastAsia="宋体" w:cs="宋体"/>
                <w:spacing w:val="-6"/>
                <w:kern w:val="0"/>
                <w:sz w:val="24"/>
                <w:szCs w:val="24"/>
              </w:rPr>
              <w:t>是否标注警示标志，处理程序、手续是否合规，是否统一管理、统一回收、如实登记，是否</w:t>
            </w:r>
            <w:r>
              <w:rPr>
                <w:rFonts w:hint="eastAsia" w:ascii="宋体" w:hAnsi="宋体" w:eastAsia="宋体" w:cs="宋体"/>
                <w:spacing w:val="-6"/>
                <w:sz w:val="24"/>
                <w:szCs w:val="24"/>
                <w:shd w:val="clear" w:color="auto" w:fill="FFFFFF"/>
              </w:rPr>
              <w:t>向所在地药品监管部门报告，并</w:t>
            </w:r>
            <w:r>
              <w:rPr>
                <w:rFonts w:hint="eastAsia" w:ascii="宋体" w:hAnsi="宋体" w:eastAsia="宋体" w:cs="宋体"/>
                <w:spacing w:val="-6"/>
                <w:kern w:val="0"/>
                <w:sz w:val="24"/>
                <w:szCs w:val="24"/>
              </w:rPr>
              <w:t>依法进行销毁处理。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kern w:val="0"/>
                <w:sz w:val="24"/>
                <w:szCs w:val="24"/>
              </w:rPr>
              <w:t>接种单位</w:t>
            </w:r>
          </w:p>
        </w:tc>
        <w:tc>
          <w:tcPr>
            <w:tcW w:w="8271"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color w:val="000000"/>
                <w:spacing w:val="0"/>
                <w:sz w:val="24"/>
                <w:szCs w:val="24"/>
                <w:lang w:val="en-US" w:eastAsia="zh-CN"/>
              </w:rPr>
              <w:t>是否有专（兼）职人员负责新冠病毒疫苗管理，并接受相关业务培训。</w:t>
            </w:r>
          </w:p>
          <w:p>
            <w:pPr>
              <w:keepNext w:val="0"/>
              <w:keepLines w:val="0"/>
              <w:pageBreakBefore w:val="0"/>
              <w:widowControl w:val="0"/>
              <w:numPr>
                <w:ilvl w:val="0"/>
                <w:numId w:val="6"/>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shd w:val="clear" w:color="auto" w:fill="FFFFFF"/>
              </w:rPr>
              <w:t>是否按规定建立并保存真实、完整的接收、购进记录，做到票、账、货、款一致，并保存至超过疫苗有效期</w:t>
            </w:r>
            <w:r>
              <w:rPr>
                <w:rFonts w:hint="eastAsia" w:ascii="宋体" w:hAnsi="宋体" w:eastAsia="宋体" w:cs="宋体"/>
                <w:spacing w:val="0"/>
                <w:sz w:val="24"/>
                <w:szCs w:val="24"/>
                <w:shd w:val="clear" w:color="auto" w:fill="FFFFFF"/>
                <w:lang w:val="en-US" w:eastAsia="zh-CN"/>
              </w:rPr>
              <w:t>5</w:t>
            </w:r>
            <w:r>
              <w:rPr>
                <w:rFonts w:hint="eastAsia" w:ascii="宋体" w:hAnsi="宋体" w:eastAsia="宋体" w:cs="宋体"/>
                <w:spacing w:val="0"/>
                <w:sz w:val="24"/>
                <w:szCs w:val="24"/>
                <w:shd w:val="clear" w:color="auto" w:fill="FFFFFF"/>
              </w:rPr>
              <w:t>年备查。</w:t>
            </w:r>
          </w:p>
          <w:p>
            <w:pPr>
              <w:keepNext w:val="0"/>
              <w:keepLines w:val="0"/>
              <w:pageBreakBefore w:val="0"/>
              <w:widowControl w:val="0"/>
              <w:numPr>
                <w:ilvl w:val="0"/>
                <w:numId w:val="6"/>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是否按要求配备普通冰箱、冷藏箱（包）、冰排和温度监测器材或设备等；冰箱的补充、更新是否选用具备医疗器械注册证的医用冰箱；是否如实填写“冷链设备温度记录表”，对储存疫苗的冰箱每天上、下午各进行一次温度记录（间隔不少于 6 小时）。</w:t>
            </w:r>
          </w:p>
          <w:p>
            <w:pPr>
              <w:keepNext w:val="0"/>
              <w:keepLines w:val="0"/>
              <w:pageBreakBefore w:val="0"/>
              <w:widowControl w:val="0"/>
              <w:numPr>
                <w:ilvl w:val="0"/>
                <w:numId w:val="6"/>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接收疫苗时，是否索取供货单位“疫苗运输温度记录表”、《生物制品批签发合格证》复印件等，核实疫苗运输的设备类型、启运和到达时的疫苗温控等情况，并做好记录。</w:t>
            </w:r>
          </w:p>
          <w:p>
            <w:pPr>
              <w:keepNext w:val="0"/>
              <w:keepLines w:val="0"/>
              <w:pageBreakBefore w:val="0"/>
              <w:widowControl w:val="0"/>
              <w:numPr>
                <w:ilvl w:val="0"/>
                <w:numId w:val="6"/>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shd w:val="clear" w:color="auto" w:fill="FFFFFF"/>
              </w:rPr>
              <w:t>对不能提供</w:t>
            </w:r>
            <w:r>
              <w:rPr>
                <w:rFonts w:hint="eastAsia" w:ascii="宋体" w:hAnsi="宋体" w:eastAsia="宋体" w:cs="宋体"/>
                <w:spacing w:val="0"/>
                <w:sz w:val="24"/>
                <w:szCs w:val="24"/>
              </w:rPr>
              <w:t>储存、运输</w:t>
            </w:r>
            <w:r>
              <w:rPr>
                <w:rFonts w:hint="eastAsia" w:ascii="宋体" w:hAnsi="宋体" w:eastAsia="宋体" w:cs="宋体"/>
                <w:spacing w:val="0"/>
                <w:sz w:val="24"/>
                <w:szCs w:val="24"/>
                <w:shd w:val="clear" w:color="auto" w:fill="FFFFFF"/>
              </w:rPr>
              <w:t>全过程温度监测记录或者温度控制不符合要求的，是否拒绝接收或者购进，并立即报告药品监管部门、卫生</w:t>
            </w:r>
            <w:r>
              <w:rPr>
                <w:rFonts w:hint="eastAsia" w:ascii="宋体" w:hAnsi="宋体" w:eastAsia="宋体" w:cs="宋体"/>
                <w:spacing w:val="0"/>
                <w:sz w:val="24"/>
                <w:szCs w:val="24"/>
                <w:shd w:val="clear" w:color="auto" w:fill="FFFFFF"/>
                <w:lang w:eastAsia="zh-CN"/>
              </w:rPr>
              <w:t>健康</w:t>
            </w:r>
            <w:r>
              <w:rPr>
                <w:rFonts w:hint="eastAsia" w:ascii="宋体" w:hAnsi="宋体" w:eastAsia="宋体" w:cs="宋体"/>
                <w:spacing w:val="0"/>
                <w:sz w:val="24"/>
                <w:szCs w:val="24"/>
                <w:shd w:val="clear" w:color="auto" w:fill="FFFFFF"/>
              </w:rPr>
              <w:t>主管部门。</w:t>
            </w:r>
          </w:p>
          <w:p>
            <w:pPr>
              <w:keepNext w:val="0"/>
              <w:keepLines w:val="0"/>
              <w:pageBreakBefore w:val="0"/>
              <w:widowControl w:val="0"/>
              <w:numPr>
                <w:ilvl w:val="0"/>
                <w:numId w:val="6"/>
              </w:numPr>
              <w:kinsoku/>
              <w:wordWrap/>
              <w:overflowPunct/>
              <w:topLinePunct w:val="0"/>
              <w:autoSpaceDE/>
              <w:autoSpaceDN/>
              <w:bidi w:val="0"/>
              <w:adjustRightInd/>
              <w:snapToGrid/>
              <w:spacing w:line="350" w:lineRule="exact"/>
              <w:jc w:val="left"/>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rPr>
              <w:t>是否建立不合格疫苗登记制度，对</w:t>
            </w:r>
            <w:r>
              <w:rPr>
                <w:rFonts w:hint="eastAsia" w:ascii="宋体" w:hAnsi="宋体" w:eastAsia="宋体" w:cs="宋体"/>
                <w:spacing w:val="0"/>
                <w:sz w:val="24"/>
                <w:szCs w:val="24"/>
                <w:shd w:val="clear" w:color="auto" w:fill="FFFFFF"/>
              </w:rPr>
              <w:t>包装无法识别、储存温度不符合要求、超过有效期等问题的疫苗，是否如实进行登记，</w:t>
            </w:r>
            <w:r>
              <w:rPr>
                <w:rFonts w:hint="eastAsia" w:ascii="宋体" w:hAnsi="宋体" w:eastAsia="宋体" w:cs="宋体"/>
                <w:spacing w:val="0"/>
                <w:sz w:val="24"/>
                <w:szCs w:val="24"/>
              </w:rPr>
              <w:t>并</w:t>
            </w:r>
            <w:r>
              <w:rPr>
                <w:rFonts w:hint="eastAsia" w:ascii="宋体" w:hAnsi="宋体" w:eastAsia="宋体" w:cs="宋体"/>
                <w:spacing w:val="0"/>
                <w:kern w:val="0"/>
                <w:sz w:val="24"/>
                <w:szCs w:val="24"/>
              </w:rPr>
              <w:t>按规定统一回收至县级疾控机构集中处理。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9" w:hRule="atLeast"/>
          <w:jc w:val="center"/>
        </w:trPr>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互联网药品信息服务企业</w:t>
            </w:r>
          </w:p>
        </w:tc>
        <w:tc>
          <w:tcPr>
            <w:tcW w:w="82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spacing w:val="0"/>
                <w:kern w:val="0"/>
                <w:sz w:val="24"/>
                <w:szCs w:val="24"/>
                <w:lang w:eastAsia="zh-CN"/>
              </w:rPr>
              <w:t>（</w:t>
            </w:r>
            <w:r>
              <w:rPr>
                <w:rFonts w:hint="eastAsia" w:ascii="宋体" w:hAnsi="宋体" w:eastAsia="宋体" w:cs="宋体"/>
                <w:spacing w:val="0"/>
                <w:kern w:val="0"/>
                <w:sz w:val="24"/>
                <w:szCs w:val="24"/>
                <w:lang w:val="en-US" w:eastAsia="zh-CN"/>
              </w:rPr>
              <w:t>1</w:t>
            </w:r>
            <w:r>
              <w:rPr>
                <w:rFonts w:hint="eastAsia" w:ascii="宋体" w:hAnsi="宋体" w:eastAsia="宋体" w:cs="宋体"/>
                <w:spacing w:val="0"/>
                <w:kern w:val="0"/>
                <w:sz w:val="24"/>
                <w:szCs w:val="24"/>
                <w:lang w:eastAsia="zh-CN"/>
              </w:rPr>
              <w:t>）是</w:t>
            </w:r>
            <w:r>
              <w:rPr>
                <w:rFonts w:hint="eastAsia" w:ascii="宋体" w:hAnsi="宋体" w:eastAsia="宋体" w:cs="宋体"/>
                <w:color w:val="000000"/>
                <w:spacing w:val="0"/>
                <w:sz w:val="24"/>
                <w:szCs w:val="24"/>
                <w:lang w:val="en-US" w:eastAsia="zh-CN"/>
              </w:rPr>
              <w:t>否在其网站主页显著位置标注《互联网药品信息服务资格证书》的证书编号。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（2）所登载的药品信息是否符合国家的法律、法规和国家有关药品、医疗器械管理的相关规定。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（3）是否发布麻醉药品、精神药品、医疗用毒性药品、放射性药品、戒毒药品和医疗机构制剂的产品信息。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（5）是否具有与开展互联网药品信息服务活动相适应的专业人员、设施及相关制度。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（6）是否超出审核同意的范围提供互联网药品信息服务。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（7）是否擅自变更互联网药品信息服务项目。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color w:val="000000"/>
                <w:spacing w:val="0"/>
                <w:sz w:val="24"/>
                <w:szCs w:val="24"/>
                <w:lang w:val="en-US" w:eastAsia="zh-CN"/>
              </w:rPr>
              <w:t>（8）销售药品是否取得《药品生产许可证》《药品经营许可证》。</w:t>
            </w:r>
          </w:p>
        </w:tc>
      </w:tr>
    </w:tbl>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spacing w:val="0"/>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firstLine="640"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firstLine="640"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eastAsia="zh-CN"/>
        </w:rPr>
      </w:pPr>
    </w:p>
    <w:p>
      <w:pPr>
        <w:pStyle w:val="10"/>
        <w:keepNext w:val="0"/>
        <w:keepLines w:val="0"/>
        <w:pageBreakBefore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DE25D"/>
    <w:multiLevelType w:val="singleLevel"/>
    <w:tmpl w:val="5E4DE25D"/>
    <w:lvl w:ilvl="0" w:tentative="0">
      <w:start w:val="1"/>
      <w:numFmt w:val="decimal"/>
      <w:suff w:val="nothing"/>
      <w:lvlText w:val="（%1）"/>
      <w:lvlJc w:val="left"/>
      <w:rPr>
        <w:rFonts w:cs="Times New Roman"/>
      </w:rPr>
    </w:lvl>
  </w:abstractNum>
  <w:abstractNum w:abstractNumId="1">
    <w:nsid w:val="5E4E4FB2"/>
    <w:multiLevelType w:val="singleLevel"/>
    <w:tmpl w:val="5E4E4FB2"/>
    <w:lvl w:ilvl="0" w:tentative="0">
      <w:start w:val="1"/>
      <w:numFmt w:val="decimal"/>
      <w:suff w:val="nothing"/>
      <w:lvlText w:val="（%1）"/>
      <w:lvlJc w:val="left"/>
      <w:rPr>
        <w:rFonts w:cs="Times New Roman"/>
      </w:rPr>
    </w:lvl>
  </w:abstractNum>
  <w:abstractNum w:abstractNumId="2">
    <w:nsid w:val="5E4E5038"/>
    <w:multiLevelType w:val="singleLevel"/>
    <w:tmpl w:val="5E4E5038"/>
    <w:lvl w:ilvl="0" w:tentative="0">
      <w:start w:val="1"/>
      <w:numFmt w:val="decimal"/>
      <w:suff w:val="nothing"/>
      <w:lvlText w:val="（%1）"/>
      <w:lvlJc w:val="left"/>
      <w:rPr>
        <w:rFonts w:cs="Times New Roman"/>
      </w:rPr>
    </w:lvl>
  </w:abstractNum>
  <w:abstractNum w:abstractNumId="3">
    <w:nsid w:val="5E4E506D"/>
    <w:multiLevelType w:val="singleLevel"/>
    <w:tmpl w:val="5E4E506D"/>
    <w:lvl w:ilvl="0" w:tentative="0">
      <w:start w:val="1"/>
      <w:numFmt w:val="decimal"/>
      <w:suff w:val="nothing"/>
      <w:lvlText w:val="（%1）"/>
      <w:lvlJc w:val="left"/>
      <w:rPr>
        <w:rFonts w:cs="Times New Roman"/>
      </w:rPr>
    </w:lvl>
  </w:abstractNum>
  <w:abstractNum w:abstractNumId="4">
    <w:nsid w:val="5E4E50B4"/>
    <w:multiLevelType w:val="singleLevel"/>
    <w:tmpl w:val="5E4E50B4"/>
    <w:lvl w:ilvl="0" w:tentative="0">
      <w:start w:val="1"/>
      <w:numFmt w:val="decimal"/>
      <w:suff w:val="nothing"/>
      <w:lvlText w:val="（%1）"/>
      <w:lvlJc w:val="left"/>
      <w:rPr>
        <w:rFonts w:cs="Times New Roman"/>
      </w:rPr>
    </w:lvl>
  </w:abstractNum>
  <w:abstractNum w:abstractNumId="5">
    <w:nsid w:val="5E4E5129"/>
    <w:multiLevelType w:val="singleLevel"/>
    <w:tmpl w:val="5E4E5129"/>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zQzNmZjNTE5NTI2ODc3MTRhN2MyNjhjM2ZiMDQifQ=="/>
  </w:docVars>
  <w:rsids>
    <w:rsidRoot w:val="46A97D0B"/>
    <w:rsid w:val="46A9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sz w:val="21"/>
      <w:szCs w:val="24"/>
    </w:rPr>
  </w:style>
  <w:style w:type="paragraph" w:styleId="3">
    <w:name w:val="Body Text"/>
    <w:basedOn w:val="1"/>
    <w:qFormat/>
    <w:uiPriority w:val="0"/>
    <w:pPr>
      <w:keepNext w:val="0"/>
      <w:keepLines w:val="0"/>
      <w:widowControl w:val="0"/>
      <w:suppressLineNumbers w:val="0"/>
      <w:spacing w:before="0" w:beforeLines="0" w:beforeAutospacing="0" w:after="120" w:afterLines="0" w:afterAutospacing="0"/>
      <w:ind w:left="0" w:right="0"/>
      <w:jc w:val="both"/>
    </w:pPr>
    <w:rPr>
      <w:rFonts w:hint="default" w:ascii="Times New Roman" w:hAnsi="Times New Roman" w:eastAsia="宋体" w:cs="Times New Roman"/>
      <w:kern w:val="2"/>
      <w:sz w:val="21"/>
      <w:szCs w:val="24"/>
      <w:lang w:val="en-US" w:eastAsia="zh-CN"/>
    </w:rPr>
  </w:style>
  <w:style w:type="paragraph" w:styleId="4">
    <w:name w:val="Body Text Indent"/>
    <w:basedOn w:val="1"/>
    <w:qFormat/>
    <w:uiPriority w:val="99"/>
    <w:pPr>
      <w:spacing w:after="120"/>
      <w:ind w:left="420" w:leftChars="200"/>
    </w:pPr>
    <w:rPr>
      <w:rFonts w:ascii="Times New Roman" w:hAnsi="Times New Roman" w:cs="Times New Roman"/>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99"/>
    <w:pPr>
      <w:spacing w:after="0"/>
      <w:ind w:firstLine="420" w:firstLineChars="200"/>
    </w:pPr>
    <w:rPr>
      <w:rFonts w:ascii="Times New Roman" w:hAnsi="Times New Roman" w:eastAsia="仿宋_GB2312"/>
      <w:sz w:val="32"/>
      <w:szCs w:val="24"/>
    </w:rPr>
  </w:style>
  <w:style w:type="paragraph" w:customStyle="1" w:styleId="10">
    <w:name w:val="p0"/>
    <w:basedOn w:val="1"/>
    <w:qFormat/>
    <w:uiPriority w:val="0"/>
    <w:pPr>
      <w:widowControl/>
    </w:pPr>
    <w:rPr>
      <w:rFonts w:ascii="Calibri" w:hAnsi="Calibri"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2022-07-29T09:56:00Z</dcterms:created>
  <dc:creator>Administrator</dc:creator>
  <cp:lastModifiedBy>Administrator</cp:lastModifiedBy>
  <dcterms:modified xsi:type="dcterms:W3CDTF">2022-07-29T09:56:44Z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2E330C83234043A189CB4C8DFC487F19</vt:lpwstr>
  </property>
</Properties>
</file>