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rPr>
          <w:rFonts w:hint="eastAsia" w:ascii="仿宋_GB2312" w:hAnsi="宋体" w:cs="宋体"/>
          <w:bCs/>
          <w:kern w:val="0"/>
          <w:sz w:val="24"/>
          <w:szCs w:val="24"/>
        </w:rPr>
      </w:pPr>
      <w:r>
        <w:rPr>
          <w:rFonts w:hint="eastAsia" w:ascii="仿宋_GB2312" w:hAnsi="宋体" w:cs="宋体"/>
          <w:bCs/>
          <w:kern w:val="0"/>
          <w:sz w:val="24"/>
          <w:szCs w:val="24"/>
        </w:rPr>
        <w:t>附件2</w:t>
      </w:r>
    </w:p>
    <w:p>
      <w:pPr>
        <w:widowControl/>
        <w:spacing w:line="400" w:lineRule="exact"/>
        <w:jc w:val="center"/>
        <w:rPr>
          <w:rFonts w:hint="eastAsia" w:ascii="宋体" w:hAnsi="宋体" w:cs="宋体"/>
          <w:b/>
          <w:bCs/>
          <w:kern w:val="0"/>
          <w:sz w:val="24"/>
          <w:szCs w:val="24"/>
        </w:rPr>
      </w:pPr>
      <w:bookmarkStart w:id="0" w:name="_GoBack"/>
      <w:r>
        <w:rPr>
          <w:rFonts w:hint="eastAsia" w:ascii="方正小标宋简体" w:hAnsi="方正小标宋简体" w:eastAsia="方正小标宋简体" w:cs="方正小标宋简体"/>
          <w:kern w:val="0"/>
          <w:sz w:val="24"/>
          <w:szCs w:val="24"/>
        </w:rPr>
        <w:t>乡镇（街道）公共法律服务工作站验收标准</w:t>
      </w:r>
    </w:p>
    <w:bookmarkEnd w:id="0"/>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tbl>
      <w:tblPr>
        <w:tblStyle w:val="3"/>
        <w:tblpPr w:leftFromText="180" w:rightFromText="180" w:vertAnchor="page" w:horzAnchor="page" w:tblpX="1543" w:tblpY="2758"/>
        <w:tblW w:w="139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790"/>
        <w:gridCol w:w="7210"/>
        <w:gridCol w:w="1080"/>
        <w:gridCol w:w="1080"/>
        <w:gridCol w:w="16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2" w:hRule="atLeast"/>
        </w:trPr>
        <w:tc>
          <w:tcPr>
            <w:tcW w:w="2978" w:type="dxa"/>
            <w:gridSpan w:val="2"/>
            <w:vAlign w:val="center"/>
          </w:tcPr>
          <w:p>
            <w:pPr>
              <w:widowControl/>
              <w:spacing w:line="3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验收项目</w:t>
            </w:r>
          </w:p>
        </w:tc>
        <w:tc>
          <w:tcPr>
            <w:tcW w:w="7210" w:type="dxa"/>
            <w:vAlign w:val="center"/>
          </w:tcPr>
          <w:p>
            <w:pPr>
              <w:widowControl/>
              <w:spacing w:line="300" w:lineRule="exact"/>
              <w:ind w:firstLine="1547" w:firstLineChars="642"/>
              <w:rPr>
                <w:rFonts w:hint="eastAsia" w:ascii="宋体" w:hAnsi="宋体" w:eastAsia="宋体" w:cs="宋体"/>
                <w:b/>
                <w:bCs/>
                <w:kern w:val="0"/>
                <w:sz w:val="24"/>
                <w:szCs w:val="24"/>
              </w:rPr>
            </w:pPr>
            <w:r>
              <w:rPr>
                <w:rFonts w:hint="eastAsia" w:ascii="宋体" w:hAnsi="宋体" w:eastAsia="宋体" w:cs="宋体"/>
                <w:b/>
                <w:bCs/>
                <w:kern w:val="0"/>
                <w:sz w:val="24"/>
                <w:szCs w:val="24"/>
              </w:rPr>
              <w:t>验收内容及</w:t>
            </w:r>
            <w:r>
              <w:rPr>
                <w:rFonts w:hint="eastAsia" w:ascii="宋体" w:hAnsi="宋体" w:cs="宋体"/>
                <w:b/>
                <w:bCs/>
                <w:kern w:val="0"/>
                <w:sz w:val="24"/>
                <w:szCs w:val="24"/>
              </w:rPr>
              <w:t>分项赋分</w:t>
            </w:r>
          </w:p>
        </w:tc>
        <w:tc>
          <w:tcPr>
            <w:tcW w:w="1080" w:type="dxa"/>
            <w:vAlign w:val="center"/>
          </w:tcPr>
          <w:p>
            <w:pPr>
              <w:widowControl/>
              <w:spacing w:line="3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验收</w:t>
            </w:r>
          </w:p>
          <w:p>
            <w:pPr>
              <w:widowControl/>
              <w:spacing w:line="3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方法</w:t>
            </w:r>
          </w:p>
        </w:tc>
        <w:tc>
          <w:tcPr>
            <w:tcW w:w="1080" w:type="dxa"/>
            <w:vAlign w:val="center"/>
          </w:tcPr>
          <w:p>
            <w:pPr>
              <w:widowControl/>
              <w:spacing w:line="3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得分</w:t>
            </w:r>
          </w:p>
        </w:tc>
        <w:tc>
          <w:tcPr>
            <w:tcW w:w="1627" w:type="dxa"/>
            <w:vAlign w:val="center"/>
          </w:tcPr>
          <w:p>
            <w:pPr>
              <w:widowControl/>
              <w:spacing w:line="3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p>
            <w:pPr>
              <w:widowControl/>
              <w:spacing w:line="3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（超出验收范围的内容）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trPr>
        <w:tc>
          <w:tcPr>
            <w:tcW w:w="1188" w:type="dxa"/>
            <w:vMerge w:val="restart"/>
            <w:vAlign w:val="top"/>
          </w:tcPr>
          <w:p>
            <w:pPr>
              <w:widowControl/>
              <w:spacing w:line="300" w:lineRule="exact"/>
              <w:rPr>
                <w:rFonts w:hint="eastAsia" w:ascii="宋体" w:hAnsi="宋体" w:eastAsia="宋体" w:cs="宋体"/>
                <w:kern w:val="0"/>
                <w:sz w:val="24"/>
                <w:szCs w:val="24"/>
              </w:rPr>
            </w:pPr>
          </w:p>
          <w:p>
            <w:pPr>
              <w:widowControl/>
              <w:spacing w:line="300" w:lineRule="exact"/>
              <w:rPr>
                <w:rFonts w:hint="eastAsia" w:ascii="宋体" w:hAnsi="宋体" w:eastAsia="宋体" w:cs="宋体"/>
                <w:kern w:val="0"/>
                <w:sz w:val="24"/>
                <w:szCs w:val="24"/>
              </w:rPr>
            </w:pPr>
          </w:p>
          <w:p>
            <w:pPr>
              <w:widowControl/>
              <w:spacing w:line="300" w:lineRule="exact"/>
              <w:rPr>
                <w:rFonts w:hint="eastAsia" w:ascii="宋体" w:hAnsi="宋体" w:eastAsia="宋体" w:cs="宋体"/>
                <w:kern w:val="0"/>
                <w:sz w:val="24"/>
                <w:szCs w:val="24"/>
              </w:rPr>
            </w:pPr>
          </w:p>
          <w:p>
            <w:pPr>
              <w:widowControl/>
              <w:spacing w:line="300" w:lineRule="exact"/>
              <w:rPr>
                <w:rFonts w:hint="eastAsia" w:ascii="宋体" w:hAnsi="宋体" w:eastAsia="宋体" w:cs="宋体"/>
                <w:kern w:val="0"/>
                <w:sz w:val="24"/>
                <w:szCs w:val="24"/>
              </w:rPr>
            </w:pPr>
          </w:p>
          <w:p>
            <w:pPr>
              <w:widowControl/>
              <w:spacing w:line="300" w:lineRule="exact"/>
              <w:rPr>
                <w:rFonts w:hint="eastAsia" w:ascii="宋体" w:hAnsi="宋体" w:eastAsia="宋体" w:cs="宋体"/>
                <w:kern w:val="0"/>
                <w:sz w:val="24"/>
                <w:szCs w:val="24"/>
              </w:rPr>
            </w:pPr>
          </w:p>
          <w:p>
            <w:pPr>
              <w:widowControl/>
              <w:spacing w:line="300" w:lineRule="exact"/>
              <w:ind w:left="138" w:hanging="118" w:hangingChars="49"/>
              <w:jc w:val="center"/>
              <w:rPr>
                <w:rFonts w:hint="eastAsia" w:ascii="宋体" w:hAnsi="宋体" w:eastAsia="宋体" w:cs="宋体"/>
                <w:b/>
                <w:kern w:val="0"/>
                <w:sz w:val="24"/>
                <w:szCs w:val="24"/>
              </w:rPr>
            </w:pPr>
          </w:p>
          <w:p>
            <w:pPr>
              <w:widowControl/>
              <w:spacing w:line="300" w:lineRule="exact"/>
              <w:ind w:left="138" w:hanging="118" w:hangingChars="49"/>
              <w:jc w:val="center"/>
              <w:rPr>
                <w:rFonts w:hint="eastAsia" w:ascii="宋体" w:hAnsi="宋体" w:eastAsia="宋体" w:cs="宋体"/>
                <w:b/>
                <w:kern w:val="0"/>
                <w:sz w:val="24"/>
                <w:szCs w:val="24"/>
              </w:rPr>
            </w:pPr>
          </w:p>
          <w:p>
            <w:pPr>
              <w:widowControl/>
              <w:spacing w:line="300" w:lineRule="exact"/>
              <w:ind w:left="138" w:hanging="118" w:hangingChars="49"/>
              <w:jc w:val="center"/>
              <w:rPr>
                <w:rFonts w:hint="eastAsia" w:ascii="宋体" w:hAnsi="宋体" w:eastAsia="宋体" w:cs="宋体"/>
                <w:b/>
                <w:kern w:val="0"/>
                <w:sz w:val="24"/>
                <w:szCs w:val="24"/>
              </w:rPr>
            </w:pPr>
            <w:r>
              <w:rPr>
                <w:rFonts w:hint="eastAsia" w:ascii="宋体" w:hAnsi="宋体" w:eastAsia="宋体" w:cs="宋体"/>
                <w:b/>
                <w:kern w:val="0"/>
                <w:sz w:val="24"/>
                <w:szCs w:val="24"/>
              </w:rPr>
              <w:t>建 设</w:t>
            </w:r>
          </w:p>
          <w:p>
            <w:pPr>
              <w:widowControl/>
              <w:spacing w:line="300" w:lineRule="exact"/>
              <w:ind w:left="138" w:hanging="118" w:hangingChars="49"/>
              <w:jc w:val="center"/>
              <w:rPr>
                <w:rFonts w:hint="eastAsia" w:ascii="宋体" w:hAnsi="宋体" w:eastAsia="宋体" w:cs="宋体"/>
                <w:b/>
                <w:kern w:val="0"/>
                <w:sz w:val="24"/>
                <w:szCs w:val="24"/>
              </w:rPr>
            </w:pPr>
            <w:r>
              <w:rPr>
                <w:rFonts w:hint="eastAsia" w:ascii="宋体" w:hAnsi="宋体" w:eastAsia="宋体" w:cs="宋体"/>
                <w:b/>
                <w:kern w:val="0"/>
                <w:sz w:val="24"/>
                <w:szCs w:val="24"/>
              </w:rPr>
              <w:t>标准化</w:t>
            </w:r>
          </w:p>
          <w:p>
            <w:pPr>
              <w:widowControl/>
              <w:spacing w:line="300" w:lineRule="exact"/>
              <w:ind w:left="138" w:hanging="118" w:hangingChars="49"/>
              <w:rPr>
                <w:rFonts w:hint="eastAsia" w:ascii="宋体" w:hAnsi="宋体" w:eastAsia="宋体" w:cs="宋体"/>
                <w:b/>
                <w:kern w:val="0"/>
                <w:sz w:val="24"/>
                <w:szCs w:val="24"/>
              </w:rPr>
            </w:pPr>
            <w:r>
              <w:rPr>
                <w:rFonts w:hint="eastAsia" w:ascii="宋体" w:hAnsi="宋体" w:eastAsia="宋体" w:cs="宋体"/>
                <w:b/>
                <w:kern w:val="0"/>
                <w:sz w:val="24"/>
                <w:szCs w:val="24"/>
              </w:rPr>
              <w:t>(30分）</w:t>
            </w:r>
          </w:p>
        </w:tc>
        <w:tc>
          <w:tcPr>
            <w:tcW w:w="1790" w:type="dxa"/>
            <w:vAlign w:val="center"/>
          </w:tcPr>
          <w:p>
            <w:pPr>
              <w:widowControl/>
              <w:spacing w:line="280" w:lineRule="exact"/>
              <w:jc w:val="center"/>
              <w:rPr>
                <w:rFonts w:ascii="宋体" w:hAnsi="宋体" w:eastAsia="宋体" w:cs="宋体"/>
                <w:b/>
                <w:kern w:val="0"/>
                <w:sz w:val="24"/>
                <w:szCs w:val="24"/>
              </w:rPr>
            </w:pPr>
            <w:r>
              <w:rPr>
                <w:rFonts w:hint="eastAsia" w:ascii="宋体" w:hAnsi="宋体" w:eastAsia="宋体" w:cs="宋体"/>
                <w:b/>
                <w:kern w:val="0"/>
                <w:sz w:val="24"/>
                <w:szCs w:val="24"/>
              </w:rPr>
              <w:t>场所建设</w:t>
            </w:r>
          </w:p>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(15分)</w:t>
            </w:r>
          </w:p>
        </w:tc>
        <w:tc>
          <w:tcPr>
            <w:tcW w:w="7210" w:type="dxa"/>
            <w:vAlign w:val="center"/>
          </w:tcPr>
          <w:p>
            <w:pPr>
              <w:widowControl/>
              <w:numPr>
                <w:ilvl w:val="0"/>
                <w:numId w:val="1"/>
              </w:numPr>
              <w:spacing w:line="280" w:lineRule="exact"/>
              <w:jc w:val="left"/>
              <w:rPr>
                <w:rFonts w:hint="eastAsia" w:ascii="仿宋_GB2312"/>
                <w:color w:val="000000"/>
                <w:sz w:val="24"/>
                <w:szCs w:val="24"/>
              </w:rPr>
            </w:pPr>
            <w:r>
              <w:rPr>
                <w:rFonts w:hint="eastAsia" w:ascii="仿宋_GB2312"/>
                <w:color w:val="000000"/>
                <w:sz w:val="24"/>
                <w:szCs w:val="24"/>
              </w:rPr>
              <w:t>公共法律服务工作站原则依托司法所建设，设置司法所一楼。也可依托综治中心或便民服务中心设置“公共法律服务”窗口。（5分）</w:t>
            </w:r>
          </w:p>
          <w:p>
            <w:pPr>
              <w:widowControl/>
              <w:numPr>
                <w:ilvl w:val="0"/>
                <w:numId w:val="1"/>
              </w:numPr>
              <w:spacing w:line="280" w:lineRule="exact"/>
              <w:jc w:val="left"/>
              <w:rPr>
                <w:rFonts w:hint="eastAsia" w:ascii="仿宋_GB2312"/>
                <w:color w:val="000000"/>
                <w:sz w:val="24"/>
                <w:szCs w:val="24"/>
              </w:rPr>
            </w:pPr>
            <w:r>
              <w:rPr>
                <w:rFonts w:hint="eastAsia" w:ascii="仿宋_GB2312"/>
                <w:color w:val="000000"/>
                <w:sz w:val="24"/>
                <w:szCs w:val="24"/>
              </w:rPr>
              <w:t>有公共法律服务工作站名牌（2分）。</w:t>
            </w:r>
            <w:r>
              <w:rPr>
                <w:rFonts w:hint="eastAsia" w:ascii="仿宋_GB2312"/>
                <w:b/>
                <w:bCs/>
                <w:color w:val="000000"/>
                <w:sz w:val="24"/>
                <w:szCs w:val="24"/>
              </w:rPr>
              <w:t>若有背景墙可再加（3分）。</w:t>
            </w:r>
            <w:r>
              <w:rPr>
                <w:rFonts w:hint="eastAsia" w:ascii="仿宋_GB2312"/>
                <w:color w:val="000000"/>
                <w:sz w:val="24"/>
                <w:szCs w:val="24"/>
              </w:rPr>
              <w:t>均应符合（宁司通〔2017〕114号）文件要求。</w:t>
            </w:r>
          </w:p>
          <w:p>
            <w:pPr>
              <w:widowControl/>
              <w:numPr>
                <w:ilvl w:val="0"/>
                <w:numId w:val="1"/>
              </w:numPr>
              <w:spacing w:line="280" w:lineRule="exact"/>
              <w:jc w:val="left"/>
              <w:rPr>
                <w:rFonts w:hint="eastAsia" w:ascii="仿宋_GB2312"/>
                <w:color w:val="000000"/>
                <w:sz w:val="24"/>
                <w:szCs w:val="24"/>
              </w:rPr>
            </w:pPr>
            <w:r>
              <w:rPr>
                <w:rFonts w:hint="eastAsia" w:ascii="仿宋_GB2312"/>
                <w:b/>
                <w:bCs/>
                <w:color w:val="000000"/>
                <w:sz w:val="24"/>
                <w:szCs w:val="24"/>
              </w:rPr>
              <w:t>工作站设置服务大厅。（5分）</w:t>
            </w:r>
          </w:p>
        </w:tc>
        <w:tc>
          <w:tcPr>
            <w:tcW w:w="1080" w:type="dxa"/>
            <w:vMerge w:val="restart"/>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实地</w:t>
            </w:r>
          </w:p>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查看</w:t>
            </w: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63" w:hRule="atLeast"/>
        </w:trPr>
        <w:tc>
          <w:tcPr>
            <w:tcW w:w="1188" w:type="dxa"/>
            <w:vMerge w:val="continue"/>
            <w:vAlign w:val="top"/>
          </w:tcPr>
          <w:p>
            <w:pPr>
              <w:widowControl/>
              <w:spacing w:line="300" w:lineRule="exact"/>
              <w:jc w:val="center"/>
              <w:rPr>
                <w:rFonts w:hint="eastAsia" w:ascii="宋体" w:hAnsi="宋体" w:eastAsia="宋体" w:cs="宋体"/>
                <w:kern w:val="0"/>
                <w:sz w:val="24"/>
                <w:szCs w:val="24"/>
              </w:rPr>
            </w:pPr>
          </w:p>
        </w:tc>
        <w:tc>
          <w:tcPr>
            <w:tcW w:w="1790" w:type="dxa"/>
            <w:vAlign w:val="center"/>
          </w:tcPr>
          <w:p>
            <w:pPr>
              <w:widowControl/>
              <w:spacing w:line="280" w:lineRule="exact"/>
              <w:jc w:val="center"/>
              <w:rPr>
                <w:rFonts w:ascii="宋体" w:hAnsi="宋体" w:eastAsia="宋体" w:cs="宋体"/>
                <w:b/>
                <w:kern w:val="0"/>
                <w:sz w:val="24"/>
                <w:szCs w:val="24"/>
              </w:rPr>
            </w:pPr>
            <w:r>
              <w:rPr>
                <w:rFonts w:hint="eastAsia" w:ascii="宋体" w:hAnsi="宋体" w:eastAsia="宋体" w:cs="宋体"/>
                <w:b/>
                <w:kern w:val="0"/>
                <w:sz w:val="24"/>
                <w:szCs w:val="24"/>
              </w:rPr>
              <w:t>办公设施</w:t>
            </w:r>
          </w:p>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(10分)</w:t>
            </w:r>
          </w:p>
        </w:tc>
        <w:tc>
          <w:tcPr>
            <w:tcW w:w="7210" w:type="dxa"/>
            <w:vAlign w:val="center"/>
          </w:tcPr>
          <w:p>
            <w:pPr>
              <w:widowControl/>
              <w:spacing w:line="280" w:lineRule="exact"/>
              <w:jc w:val="left"/>
              <w:rPr>
                <w:rFonts w:hint="eastAsia" w:ascii="仿宋_GB2312"/>
                <w:color w:val="000000"/>
                <w:sz w:val="24"/>
                <w:szCs w:val="24"/>
              </w:rPr>
            </w:pPr>
            <w:r>
              <w:rPr>
                <w:rFonts w:hint="eastAsia" w:ascii="仿宋_GB2312"/>
                <w:color w:val="000000"/>
                <w:sz w:val="24"/>
                <w:szCs w:val="24"/>
              </w:rPr>
              <w:t>1.大厅应配有电话、电脑（连接政务外网和互联网）、打印机、复印机、扫描仪、身份证识读器等办公设施（每项1分，共6分）。</w:t>
            </w:r>
          </w:p>
          <w:p>
            <w:pPr>
              <w:widowControl/>
              <w:spacing w:line="280" w:lineRule="exact"/>
              <w:jc w:val="left"/>
              <w:rPr>
                <w:rFonts w:hint="eastAsia" w:ascii="宋体" w:hAnsi="宋体" w:eastAsia="宋体" w:cs="宋体"/>
                <w:kern w:val="0"/>
                <w:sz w:val="24"/>
                <w:szCs w:val="24"/>
              </w:rPr>
            </w:pPr>
            <w:r>
              <w:rPr>
                <w:rFonts w:hint="eastAsia" w:ascii="仿宋_GB2312"/>
                <w:color w:val="000000"/>
                <w:sz w:val="24"/>
                <w:szCs w:val="24"/>
              </w:rPr>
              <w:t>2.摆放公共法律服务触摸查询一体机（双屏电脑）或其他智能化服务设备（连接互联网），座椅，饮水机，宣传资料架等服务设施。（每项1分，共4分）</w:t>
            </w:r>
          </w:p>
        </w:tc>
        <w:tc>
          <w:tcPr>
            <w:tcW w:w="1080" w:type="dxa"/>
            <w:vMerge w:val="continue"/>
            <w:vAlign w:val="center"/>
          </w:tcPr>
          <w:p>
            <w:pPr>
              <w:widowControl/>
              <w:spacing w:line="300" w:lineRule="exact"/>
              <w:jc w:val="left"/>
              <w:rPr>
                <w:rFonts w:hint="eastAsia" w:ascii="宋体" w:hAnsi="宋体" w:eastAsia="宋体" w:cs="宋体"/>
                <w:kern w:val="0"/>
                <w:sz w:val="24"/>
                <w:szCs w:val="24"/>
              </w:rPr>
            </w:pP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43" w:hRule="atLeast"/>
        </w:trPr>
        <w:tc>
          <w:tcPr>
            <w:tcW w:w="1188" w:type="dxa"/>
            <w:vMerge w:val="continue"/>
            <w:vAlign w:val="top"/>
          </w:tcPr>
          <w:p>
            <w:pPr>
              <w:widowControl/>
              <w:spacing w:line="300" w:lineRule="exact"/>
              <w:jc w:val="center"/>
              <w:rPr>
                <w:rFonts w:hint="eastAsia" w:ascii="宋体" w:hAnsi="宋体" w:eastAsia="宋体" w:cs="宋体"/>
                <w:kern w:val="0"/>
                <w:sz w:val="24"/>
                <w:szCs w:val="24"/>
              </w:rPr>
            </w:pPr>
          </w:p>
        </w:tc>
        <w:tc>
          <w:tcPr>
            <w:tcW w:w="1790" w:type="dxa"/>
            <w:vAlign w:val="center"/>
          </w:tcPr>
          <w:p>
            <w:pPr>
              <w:widowControl/>
              <w:spacing w:line="2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办公区划分(5分)</w:t>
            </w:r>
          </w:p>
        </w:tc>
        <w:tc>
          <w:tcPr>
            <w:tcW w:w="7210" w:type="dxa"/>
            <w:vAlign w:val="center"/>
          </w:tcPr>
          <w:p>
            <w:pPr>
              <w:widowControl/>
              <w:spacing w:line="280" w:lineRule="exact"/>
              <w:jc w:val="left"/>
              <w:rPr>
                <w:rFonts w:hint="eastAsia" w:ascii="宋体" w:hAnsi="宋体" w:eastAsia="宋体" w:cs="宋体"/>
                <w:kern w:val="0"/>
                <w:sz w:val="24"/>
                <w:szCs w:val="24"/>
              </w:rPr>
            </w:pPr>
            <w:r>
              <w:rPr>
                <w:rFonts w:hint="eastAsia" w:ascii="仿宋_GB2312"/>
                <w:color w:val="000000"/>
                <w:sz w:val="24"/>
                <w:szCs w:val="24"/>
              </w:rPr>
              <w:t>1.工作站有独立</w:t>
            </w:r>
            <w:r>
              <w:rPr>
                <w:rFonts w:hint="eastAsia" w:ascii="宋体" w:hAnsi="宋体" w:eastAsia="宋体" w:cs="宋体"/>
                <w:b/>
                <w:kern w:val="0"/>
                <w:sz w:val="24"/>
                <w:szCs w:val="24"/>
              </w:rPr>
              <w:t>私密的法律咨询室、人民调解室</w:t>
            </w:r>
            <w:r>
              <w:rPr>
                <w:rFonts w:hint="eastAsia" w:ascii="宋体" w:hAnsi="宋体" w:eastAsia="宋体" w:cs="宋体"/>
                <w:kern w:val="0"/>
                <w:sz w:val="24"/>
                <w:szCs w:val="24"/>
              </w:rPr>
              <w:t>。（每项2分，共5分）。</w:t>
            </w:r>
          </w:p>
        </w:tc>
        <w:tc>
          <w:tcPr>
            <w:tcW w:w="1080" w:type="dxa"/>
            <w:vMerge w:val="continue"/>
            <w:vAlign w:val="center"/>
          </w:tcPr>
          <w:p>
            <w:pPr>
              <w:widowControl/>
              <w:spacing w:line="300" w:lineRule="exact"/>
              <w:jc w:val="left"/>
              <w:rPr>
                <w:rFonts w:hint="eastAsia" w:ascii="宋体" w:hAnsi="宋体" w:eastAsia="宋体" w:cs="宋体"/>
                <w:kern w:val="0"/>
                <w:sz w:val="24"/>
                <w:szCs w:val="24"/>
              </w:rPr>
            </w:pP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188" w:type="dxa"/>
            <w:vMerge w:val="restart"/>
            <w:vAlign w:val="top"/>
          </w:tcPr>
          <w:p>
            <w:pPr>
              <w:spacing w:line="300" w:lineRule="exact"/>
              <w:ind w:firstLine="120" w:firstLineChars="50"/>
              <w:rPr>
                <w:rFonts w:hint="eastAsia" w:ascii="宋体" w:hAnsi="宋体" w:eastAsia="宋体" w:cs="宋体"/>
                <w:b/>
                <w:kern w:val="0"/>
                <w:sz w:val="24"/>
                <w:szCs w:val="24"/>
              </w:rPr>
            </w:pPr>
          </w:p>
          <w:p>
            <w:pPr>
              <w:spacing w:line="300" w:lineRule="exact"/>
              <w:ind w:firstLine="120" w:firstLineChars="50"/>
              <w:rPr>
                <w:rFonts w:hint="eastAsia" w:ascii="宋体" w:hAnsi="宋体" w:eastAsia="宋体" w:cs="宋体"/>
                <w:b/>
                <w:kern w:val="0"/>
                <w:sz w:val="24"/>
                <w:szCs w:val="24"/>
              </w:rPr>
            </w:pPr>
          </w:p>
          <w:p>
            <w:pPr>
              <w:spacing w:line="300" w:lineRule="exact"/>
              <w:ind w:firstLine="120" w:firstLineChars="50"/>
              <w:rPr>
                <w:rFonts w:hint="eastAsia" w:ascii="宋体" w:hAnsi="宋体" w:eastAsia="宋体" w:cs="宋体"/>
                <w:b/>
                <w:kern w:val="0"/>
                <w:sz w:val="24"/>
                <w:szCs w:val="24"/>
              </w:rPr>
            </w:pPr>
          </w:p>
          <w:p>
            <w:pPr>
              <w:spacing w:line="300" w:lineRule="exact"/>
              <w:ind w:firstLine="120" w:firstLineChars="50"/>
              <w:rPr>
                <w:rFonts w:hint="eastAsia" w:ascii="宋体" w:hAnsi="宋体" w:eastAsia="宋体" w:cs="宋体"/>
                <w:b/>
                <w:kern w:val="0"/>
                <w:sz w:val="24"/>
                <w:szCs w:val="24"/>
              </w:rPr>
            </w:pPr>
          </w:p>
          <w:p>
            <w:pPr>
              <w:spacing w:line="300" w:lineRule="exact"/>
              <w:ind w:firstLine="120" w:firstLineChars="50"/>
              <w:rPr>
                <w:rFonts w:hint="eastAsia" w:ascii="宋体" w:hAnsi="宋体" w:eastAsia="宋体" w:cs="宋体"/>
                <w:b/>
                <w:kern w:val="0"/>
                <w:sz w:val="24"/>
                <w:szCs w:val="24"/>
              </w:rPr>
            </w:pPr>
          </w:p>
          <w:p>
            <w:pPr>
              <w:spacing w:line="300" w:lineRule="exact"/>
              <w:ind w:firstLine="120" w:firstLineChars="50"/>
              <w:rPr>
                <w:rFonts w:hint="eastAsia" w:ascii="宋体" w:hAnsi="宋体" w:eastAsia="宋体" w:cs="宋体"/>
                <w:b/>
                <w:kern w:val="0"/>
                <w:sz w:val="24"/>
                <w:szCs w:val="24"/>
              </w:rPr>
            </w:pPr>
          </w:p>
          <w:p>
            <w:pPr>
              <w:spacing w:line="300" w:lineRule="exact"/>
              <w:ind w:firstLine="118" w:firstLineChars="49"/>
              <w:rPr>
                <w:rFonts w:hint="eastAsia" w:ascii="宋体" w:hAnsi="宋体" w:eastAsia="宋体" w:cs="宋体"/>
                <w:b/>
                <w:kern w:val="0"/>
                <w:sz w:val="24"/>
                <w:szCs w:val="24"/>
              </w:rPr>
            </w:pPr>
          </w:p>
          <w:p>
            <w:pPr>
              <w:spacing w:line="300" w:lineRule="exact"/>
              <w:ind w:firstLine="118" w:firstLineChars="49"/>
              <w:rPr>
                <w:rFonts w:hint="eastAsia" w:ascii="宋体" w:hAnsi="宋体" w:eastAsia="宋体" w:cs="宋体"/>
                <w:b/>
                <w:kern w:val="0"/>
                <w:sz w:val="24"/>
                <w:szCs w:val="24"/>
              </w:rPr>
            </w:pPr>
          </w:p>
          <w:p>
            <w:pPr>
              <w:spacing w:line="300" w:lineRule="exact"/>
              <w:ind w:firstLine="118" w:firstLineChars="49"/>
              <w:rPr>
                <w:rFonts w:hint="eastAsia" w:ascii="宋体" w:hAnsi="宋体" w:eastAsia="宋体" w:cs="宋体"/>
                <w:b/>
                <w:kern w:val="0"/>
                <w:sz w:val="24"/>
                <w:szCs w:val="24"/>
              </w:rPr>
            </w:pPr>
            <w:r>
              <w:rPr>
                <w:rFonts w:hint="eastAsia" w:ascii="宋体" w:hAnsi="宋体" w:eastAsia="宋体" w:cs="宋体"/>
                <w:b/>
                <w:kern w:val="0"/>
                <w:sz w:val="24"/>
                <w:szCs w:val="24"/>
              </w:rPr>
              <w:t>服 务</w:t>
            </w:r>
          </w:p>
          <w:p>
            <w:pPr>
              <w:spacing w:line="300" w:lineRule="exact"/>
              <w:rPr>
                <w:rFonts w:hint="eastAsia" w:ascii="宋体" w:hAnsi="宋体" w:eastAsia="宋体" w:cs="宋体"/>
                <w:b/>
                <w:kern w:val="0"/>
                <w:sz w:val="24"/>
                <w:szCs w:val="24"/>
              </w:rPr>
            </w:pPr>
            <w:r>
              <w:rPr>
                <w:rFonts w:hint="eastAsia" w:ascii="宋体" w:hAnsi="宋体" w:eastAsia="宋体" w:cs="宋体"/>
                <w:b/>
                <w:kern w:val="0"/>
                <w:sz w:val="24"/>
                <w:szCs w:val="24"/>
              </w:rPr>
              <w:t>专业化</w:t>
            </w:r>
          </w:p>
          <w:p>
            <w:pPr>
              <w:spacing w:line="300" w:lineRule="exact"/>
              <w:rPr>
                <w:rFonts w:hint="eastAsia" w:ascii="宋体" w:hAnsi="宋体" w:eastAsia="宋体" w:cs="宋体"/>
                <w:b/>
                <w:kern w:val="0"/>
                <w:sz w:val="24"/>
                <w:szCs w:val="24"/>
              </w:rPr>
            </w:pPr>
            <w:r>
              <w:rPr>
                <w:rFonts w:hint="eastAsia" w:ascii="宋体" w:hAnsi="宋体" w:eastAsia="宋体" w:cs="宋体"/>
                <w:b/>
                <w:kern w:val="0"/>
                <w:sz w:val="24"/>
                <w:szCs w:val="24"/>
              </w:rPr>
              <w:t>(40分)</w:t>
            </w:r>
          </w:p>
        </w:tc>
        <w:tc>
          <w:tcPr>
            <w:tcW w:w="1790" w:type="dxa"/>
            <w:vAlign w:val="center"/>
          </w:tcPr>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人员配备</w:t>
            </w:r>
          </w:p>
          <w:p>
            <w:pPr>
              <w:widowControl/>
              <w:spacing w:line="300" w:lineRule="exact"/>
              <w:jc w:val="center"/>
              <w:rPr>
                <w:rFonts w:hint="eastAsia" w:ascii="宋体" w:hAnsi="宋体" w:eastAsia="宋体" w:cs="宋体"/>
                <w:kern w:val="0"/>
                <w:sz w:val="24"/>
                <w:szCs w:val="24"/>
              </w:rPr>
            </w:pPr>
            <w:r>
              <w:rPr>
                <w:rFonts w:hint="eastAsia" w:ascii="宋体" w:hAnsi="宋体" w:eastAsia="宋体" w:cs="宋体"/>
                <w:b/>
                <w:kern w:val="0"/>
                <w:sz w:val="24"/>
                <w:szCs w:val="24"/>
              </w:rPr>
              <w:t>（5分）</w:t>
            </w:r>
          </w:p>
        </w:tc>
        <w:tc>
          <w:tcPr>
            <w:tcW w:w="7210" w:type="dxa"/>
            <w:vAlign w:val="top"/>
          </w:tcPr>
          <w:p>
            <w:pPr>
              <w:widowControl/>
              <w:numPr>
                <w:ilvl w:val="0"/>
                <w:numId w:val="2"/>
              </w:numPr>
              <w:spacing w:line="300" w:lineRule="exact"/>
              <w:rPr>
                <w:rFonts w:hint="eastAsia" w:ascii="仿宋_GB2312"/>
                <w:color w:val="000000"/>
                <w:sz w:val="24"/>
                <w:szCs w:val="24"/>
              </w:rPr>
            </w:pPr>
            <w:r>
              <w:rPr>
                <w:rFonts w:hint="eastAsia" w:ascii="仿宋_GB2312"/>
                <w:color w:val="000000"/>
                <w:sz w:val="24"/>
                <w:szCs w:val="24"/>
              </w:rPr>
              <w:t>基本岗位设置应配备2名人员，其中1名工作站站长，1名工作站专干。（共2分）</w:t>
            </w:r>
          </w:p>
          <w:p>
            <w:pPr>
              <w:widowControl/>
              <w:spacing w:line="300" w:lineRule="exact"/>
              <w:rPr>
                <w:rFonts w:hint="eastAsia" w:ascii="仿宋_GB2312"/>
                <w:color w:val="000000"/>
                <w:sz w:val="24"/>
                <w:szCs w:val="24"/>
              </w:rPr>
            </w:pPr>
            <w:r>
              <w:rPr>
                <w:rFonts w:hint="eastAsia" w:ascii="仿宋_GB2312"/>
                <w:color w:val="000000"/>
                <w:sz w:val="24"/>
                <w:szCs w:val="24"/>
              </w:rPr>
              <w:t>2.乡镇（街道）调委会需配备3名专职人员调解员。（共3分）</w:t>
            </w:r>
          </w:p>
        </w:tc>
        <w:tc>
          <w:tcPr>
            <w:tcW w:w="1080" w:type="dxa"/>
            <w:vMerge w:val="restart"/>
            <w:vAlign w:val="center"/>
          </w:tcPr>
          <w:p>
            <w:pPr>
              <w:widowControl/>
              <w:spacing w:line="300" w:lineRule="exact"/>
              <w:jc w:val="left"/>
              <w:rPr>
                <w:rFonts w:hint="eastAsia" w:ascii="宋体" w:hAnsi="宋体" w:eastAsia="宋体" w:cs="宋体"/>
                <w:kern w:val="0"/>
                <w:sz w:val="24"/>
                <w:szCs w:val="24"/>
              </w:rPr>
            </w:pPr>
          </w:p>
          <w:p>
            <w:pPr>
              <w:widowControl/>
              <w:spacing w:line="300" w:lineRule="exact"/>
              <w:jc w:val="left"/>
              <w:rPr>
                <w:rFonts w:hint="eastAsia" w:ascii="宋体" w:hAnsi="宋体" w:eastAsia="宋体" w:cs="宋体"/>
                <w:kern w:val="0"/>
                <w:sz w:val="24"/>
                <w:szCs w:val="24"/>
              </w:rPr>
            </w:pPr>
          </w:p>
          <w:p>
            <w:pPr>
              <w:widowControl/>
              <w:spacing w:line="300" w:lineRule="exact"/>
              <w:jc w:val="left"/>
              <w:rPr>
                <w:rFonts w:hint="eastAsia" w:ascii="宋体" w:hAnsi="宋体" w:eastAsia="宋体" w:cs="宋体"/>
                <w:kern w:val="0"/>
                <w:sz w:val="24"/>
                <w:szCs w:val="24"/>
              </w:rPr>
            </w:pPr>
          </w:p>
          <w:p>
            <w:pPr>
              <w:widowControl/>
              <w:spacing w:line="300" w:lineRule="exact"/>
              <w:jc w:val="left"/>
              <w:rPr>
                <w:rFonts w:hint="eastAsia" w:ascii="宋体" w:hAnsi="宋体" w:eastAsia="宋体" w:cs="宋体"/>
                <w:kern w:val="0"/>
                <w:sz w:val="24"/>
                <w:szCs w:val="24"/>
              </w:rPr>
            </w:pPr>
          </w:p>
          <w:p>
            <w:pPr>
              <w:widowControl/>
              <w:spacing w:line="300" w:lineRule="exact"/>
              <w:jc w:val="left"/>
              <w:rPr>
                <w:rFonts w:hint="eastAsia" w:ascii="宋体" w:hAnsi="宋体" w:eastAsia="宋体" w:cs="宋体"/>
                <w:kern w:val="0"/>
                <w:sz w:val="24"/>
                <w:szCs w:val="24"/>
              </w:rPr>
            </w:pPr>
          </w:p>
          <w:p>
            <w:pPr>
              <w:widowControl/>
              <w:spacing w:line="300" w:lineRule="exact"/>
              <w:jc w:val="left"/>
              <w:rPr>
                <w:rFonts w:hint="eastAsia" w:ascii="宋体" w:hAnsi="宋体" w:eastAsia="宋体" w:cs="宋体"/>
                <w:kern w:val="0"/>
                <w:sz w:val="24"/>
                <w:szCs w:val="24"/>
              </w:rPr>
            </w:pPr>
          </w:p>
          <w:p>
            <w:pPr>
              <w:widowControl/>
              <w:spacing w:line="300" w:lineRule="exact"/>
              <w:jc w:val="left"/>
              <w:rPr>
                <w:rFonts w:hint="eastAsia" w:ascii="宋体" w:hAnsi="宋体" w:eastAsia="宋体" w:cs="宋体"/>
                <w:kern w:val="0"/>
                <w:sz w:val="24"/>
                <w:szCs w:val="24"/>
              </w:rPr>
            </w:pPr>
          </w:p>
          <w:p>
            <w:pPr>
              <w:widowControl/>
              <w:spacing w:line="300" w:lineRule="exact"/>
              <w:jc w:val="left"/>
              <w:rPr>
                <w:rFonts w:hint="eastAsia" w:ascii="宋体" w:hAnsi="宋体" w:eastAsia="宋体" w:cs="宋体"/>
                <w:kern w:val="0"/>
                <w:sz w:val="24"/>
                <w:szCs w:val="24"/>
              </w:rPr>
            </w:pPr>
          </w:p>
          <w:p>
            <w:pPr>
              <w:widowControl/>
              <w:spacing w:line="300" w:lineRule="exact"/>
              <w:jc w:val="left"/>
              <w:rPr>
                <w:rFonts w:hint="eastAsia" w:ascii="宋体" w:hAnsi="宋体" w:eastAsia="宋体" w:cs="宋体"/>
                <w:kern w:val="0"/>
                <w:sz w:val="24"/>
                <w:szCs w:val="24"/>
              </w:rPr>
            </w:pPr>
          </w:p>
          <w:p>
            <w:pPr>
              <w:widowControl/>
              <w:spacing w:line="300" w:lineRule="exact"/>
              <w:jc w:val="left"/>
              <w:rPr>
                <w:rFonts w:hint="eastAsia" w:ascii="宋体" w:hAnsi="宋体" w:eastAsia="宋体" w:cs="宋体"/>
                <w:kern w:val="0"/>
                <w:sz w:val="24"/>
                <w:szCs w:val="24"/>
              </w:rPr>
            </w:pPr>
          </w:p>
          <w:p>
            <w:pPr>
              <w:widowControl/>
              <w:spacing w:line="300" w:lineRule="exact"/>
              <w:jc w:val="left"/>
              <w:rPr>
                <w:rFonts w:hint="eastAsia" w:ascii="宋体" w:hAnsi="宋体" w:eastAsia="宋体" w:cs="宋体"/>
                <w:kern w:val="0"/>
                <w:sz w:val="24"/>
                <w:szCs w:val="24"/>
              </w:rPr>
            </w:pPr>
          </w:p>
          <w:p>
            <w:pPr>
              <w:widowControl/>
              <w:spacing w:line="3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实地</w:t>
            </w:r>
          </w:p>
          <w:p>
            <w:pPr>
              <w:widowControl/>
              <w:spacing w:line="3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查看</w:t>
            </w: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97" w:hRule="atLeast"/>
        </w:trPr>
        <w:tc>
          <w:tcPr>
            <w:tcW w:w="1188" w:type="dxa"/>
            <w:vMerge w:val="continue"/>
            <w:vAlign w:val="top"/>
          </w:tcPr>
          <w:p>
            <w:pPr>
              <w:spacing w:line="300" w:lineRule="exact"/>
              <w:ind w:firstLine="120" w:firstLineChars="50"/>
              <w:rPr>
                <w:rFonts w:hint="eastAsia" w:ascii="宋体" w:hAnsi="宋体" w:eastAsia="宋体" w:cs="宋体"/>
                <w:b/>
                <w:kern w:val="0"/>
                <w:sz w:val="24"/>
                <w:szCs w:val="24"/>
              </w:rPr>
            </w:pPr>
          </w:p>
        </w:tc>
        <w:tc>
          <w:tcPr>
            <w:tcW w:w="1790" w:type="dxa"/>
            <w:vAlign w:val="center"/>
          </w:tcPr>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业务开展</w:t>
            </w:r>
          </w:p>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(30分)</w:t>
            </w:r>
          </w:p>
        </w:tc>
        <w:tc>
          <w:tcPr>
            <w:tcW w:w="7210" w:type="dxa"/>
            <w:vAlign w:val="center"/>
          </w:tcPr>
          <w:p>
            <w:pPr>
              <w:widowControl/>
              <w:spacing w:line="300" w:lineRule="exact"/>
              <w:jc w:val="left"/>
              <w:rPr>
                <w:rFonts w:hint="eastAsia" w:ascii="仿宋_GB2312"/>
                <w:color w:val="000000"/>
                <w:sz w:val="24"/>
                <w:szCs w:val="24"/>
              </w:rPr>
            </w:pPr>
            <w:r>
              <w:rPr>
                <w:rFonts w:hint="eastAsia" w:ascii="仿宋_GB2312"/>
                <w:color w:val="000000"/>
                <w:sz w:val="24"/>
                <w:szCs w:val="24"/>
              </w:rPr>
              <w:t>1.接待群众来访和法律咨询服务。（每项2分，共4分）</w:t>
            </w:r>
          </w:p>
          <w:p>
            <w:pPr>
              <w:widowControl/>
              <w:spacing w:line="300" w:lineRule="exact"/>
              <w:jc w:val="left"/>
              <w:rPr>
                <w:rFonts w:hint="eastAsia" w:ascii="仿宋_GB2312"/>
                <w:color w:val="000000"/>
                <w:sz w:val="24"/>
                <w:szCs w:val="24"/>
              </w:rPr>
            </w:pPr>
            <w:r>
              <w:rPr>
                <w:rFonts w:hint="eastAsia" w:ascii="仿宋_GB2312"/>
                <w:color w:val="000000"/>
                <w:sz w:val="24"/>
                <w:szCs w:val="24"/>
              </w:rPr>
              <w:t>2.引导法律援助，律师，公证，司法鉴定等法律业务，负责法律援助申请初审。（每项2分，共10分）</w:t>
            </w:r>
          </w:p>
          <w:p>
            <w:pPr>
              <w:widowControl/>
              <w:spacing w:line="300" w:lineRule="exact"/>
              <w:jc w:val="left"/>
              <w:rPr>
                <w:rFonts w:hint="eastAsia" w:ascii="仿宋_GB2312"/>
                <w:color w:val="000000"/>
                <w:sz w:val="24"/>
                <w:szCs w:val="24"/>
              </w:rPr>
            </w:pPr>
            <w:r>
              <w:rPr>
                <w:rFonts w:hint="eastAsia" w:ascii="仿宋_GB2312"/>
                <w:color w:val="000000"/>
                <w:sz w:val="24"/>
                <w:szCs w:val="24"/>
              </w:rPr>
              <w:t>3.组织开展人民调解、法治宣传教育，引导告知刑满释放人员安置帮教政策、救助帮扶途径等。（每项2分，共8分）</w:t>
            </w:r>
          </w:p>
          <w:p>
            <w:pPr>
              <w:widowControl/>
              <w:spacing w:line="300" w:lineRule="exact"/>
              <w:jc w:val="left"/>
              <w:rPr>
                <w:rFonts w:hint="eastAsia" w:ascii="仿宋_GB2312"/>
                <w:color w:val="000000"/>
                <w:sz w:val="24"/>
                <w:szCs w:val="24"/>
              </w:rPr>
            </w:pPr>
            <w:r>
              <w:rPr>
                <w:rFonts w:hint="eastAsia" w:ascii="仿宋_GB2312"/>
                <w:color w:val="000000"/>
                <w:sz w:val="24"/>
                <w:szCs w:val="24"/>
              </w:rPr>
              <w:t>4.积极为辖区政府机关、企事业单位、社会组织等提供法律咨询。（3分）</w:t>
            </w:r>
          </w:p>
          <w:p>
            <w:pPr>
              <w:widowControl/>
              <w:spacing w:line="300" w:lineRule="exact"/>
              <w:jc w:val="left"/>
              <w:rPr>
                <w:rFonts w:hint="eastAsia" w:ascii="仿宋_GB2312"/>
                <w:color w:val="000000"/>
                <w:sz w:val="24"/>
                <w:szCs w:val="24"/>
              </w:rPr>
            </w:pPr>
            <w:r>
              <w:rPr>
                <w:rFonts w:hint="eastAsia" w:ascii="仿宋_GB2312"/>
                <w:color w:val="000000"/>
                <w:sz w:val="24"/>
                <w:szCs w:val="24"/>
              </w:rPr>
              <w:t>5.参与指导，考核村（居）公共法律服务工作室工作和村（居）法律顾问工作。（2分）</w:t>
            </w:r>
          </w:p>
          <w:p>
            <w:pPr>
              <w:widowControl/>
              <w:spacing w:line="300" w:lineRule="exact"/>
              <w:jc w:val="left"/>
              <w:rPr>
                <w:rFonts w:hint="eastAsia" w:ascii="仿宋_GB2312"/>
                <w:color w:val="000000"/>
                <w:sz w:val="24"/>
                <w:szCs w:val="24"/>
              </w:rPr>
            </w:pPr>
            <w:r>
              <w:rPr>
                <w:rFonts w:hint="eastAsia" w:ascii="仿宋_GB2312"/>
                <w:color w:val="000000"/>
                <w:sz w:val="24"/>
                <w:szCs w:val="24"/>
              </w:rPr>
              <w:t>6.完成上级司法行政机关和当地党委、政府交办的其他法律服务工作。（3分）</w:t>
            </w:r>
          </w:p>
        </w:tc>
        <w:tc>
          <w:tcPr>
            <w:tcW w:w="1080" w:type="dxa"/>
            <w:vMerge w:val="continue"/>
            <w:vAlign w:val="center"/>
          </w:tcPr>
          <w:p>
            <w:pPr>
              <w:widowControl/>
              <w:spacing w:line="300" w:lineRule="exact"/>
              <w:jc w:val="left"/>
              <w:rPr>
                <w:rFonts w:hint="eastAsia" w:ascii="宋体" w:hAnsi="宋体" w:eastAsia="宋体" w:cs="宋体"/>
                <w:kern w:val="0"/>
                <w:sz w:val="24"/>
                <w:szCs w:val="24"/>
              </w:rPr>
            </w:pP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41" w:hRule="atLeast"/>
        </w:trPr>
        <w:tc>
          <w:tcPr>
            <w:tcW w:w="1188" w:type="dxa"/>
            <w:vMerge w:val="continue"/>
            <w:vAlign w:val="top"/>
          </w:tcPr>
          <w:p>
            <w:pPr>
              <w:spacing w:line="300" w:lineRule="exact"/>
              <w:ind w:firstLine="120" w:firstLineChars="50"/>
              <w:rPr>
                <w:rFonts w:hint="eastAsia" w:ascii="宋体" w:hAnsi="宋体" w:eastAsia="宋体" w:cs="宋体"/>
                <w:b/>
                <w:kern w:val="0"/>
                <w:sz w:val="24"/>
                <w:szCs w:val="24"/>
              </w:rPr>
            </w:pPr>
          </w:p>
        </w:tc>
        <w:tc>
          <w:tcPr>
            <w:tcW w:w="1790" w:type="dxa"/>
            <w:vAlign w:val="center"/>
          </w:tcPr>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服务质量</w:t>
            </w:r>
          </w:p>
          <w:p>
            <w:pPr>
              <w:widowControl/>
              <w:spacing w:line="300" w:lineRule="exact"/>
              <w:jc w:val="center"/>
              <w:rPr>
                <w:rFonts w:hint="eastAsia" w:ascii="宋体" w:hAnsi="宋体" w:eastAsia="宋体" w:cs="宋体"/>
                <w:w w:val="95"/>
                <w:kern w:val="0"/>
                <w:sz w:val="24"/>
                <w:szCs w:val="24"/>
              </w:rPr>
            </w:pPr>
            <w:r>
              <w:rPr>
                <w:rFonts w:hint="eastAsia" w:ascii="宋体" w:hAnsi="宋体" w:eastAsia="宋体" w:cs="宋体"/>
                <w:b/>
                <w:kern w:val="0"/>
                <w:sz w:val="24"/>
                <w:szCs w:val="24"/>
              </w:rPr>
              <w:t>（5分）</w:t>
            </w:r>
          </w:p>
        </w:tc>
        <w:tc>
          <w:tcPr>
            <w:tcW w:w="7210" w:type="dxa"/>
            <w:vAlign w:val="top"/>
          </w:tcPr>
          <w:p>
            <w:pPr>
              <w:widowControl/>
              <w:spacing w:line="300" w:lineRule="exact"/>
              <w:rPr>
                <w:rFonts w:hint="eastAsia" w:ascii="仿宋_GB2312"/>
                <w:color w:val="000000"/>
                <w:sz w:val="24"/>
                <w:szCs w:val="24"/>
              </w:rPr>
            </w:pPr>
            <w:r>
              <w:rPr>
                <w:rFonts w:hint="eastAsia" w:ascii="仿宋_GB2312"/>
                <w:color w:val="000000"/>
                <w:sz w:val="24"/>
                <w:szCs w:val="24"/>
              </w:rPr>
              <w:t>1.服务人员统一着装，挂牌上岗。服务人员态度热情，语文文明，举止得体，服务规范。（1分）</w:t>
            </w:r>
          </w:p>
          <w:p>
            <w:pPr>
              <w:widowControl/>
              <w:spacing w:line="300" w:lineRule="exact"/>
              <w:rPr>
                <w:rFonts w:hint="eastAsia" w:ascii="仿宋_GB2312"/>
                <w:color w:val="000000"/>
                <w:sz w:val="24"/>
                <w:szCs w:val="24"/>
              </w:rPr>
            </w:pPr>
            <w:r>
              <w:rPr>
                <w:rFonts w:hint="eastAsia" w:ascii="仿宋_GB2312"/>
                <w:color w:val="000000"/>
                <w:sz w:val="24"/>
                <w:szCs w:val="24"/>
              </w:rPr>
              <w:t>2.提高工作效率，能当场办结的事项当场办结，对到达下班时点仍未办结的事项，应提供延时服务，一次性办结。（2分）</w:t>
            </w:r>
          </w:p>
          <w:p>
            <w:pPr>
              <w:widowControl/>
              <w:spacing w:line="300" w:lineRule="exact"/>
              <w:rPr>
                <w:rFonts w:hint="eastAsia" w:ascii="仿宋_GB2312"/>
                <w:color w:val="000000"/>
                <w:sz w:val="24"/>
                <w:szCs w:val="24"/>
              </w:rPr>
            </w:pPr>
            <w:r>
              <w:rPr>
                <w:rFonts w:hint="eastAsia" w:ascii="仿宋_GB2312"/>
                <w:color w:val="000000"/>
                <w:sz w:val="24"/>
                <w:szCs w:val="24"/>
              </w:rPr>
              <w:t>3. 受理人民调解申请，并及时办理。（2分）</w:t>
            </w:r>
          </w:p>
        </w:tc>
        <w:tc>
          <w:tcPr>
            <w:tcW w:w="1080" w:type="dxa"/>
            <w:vMerge w:val="continue"/>
            <w:vAlign w:val="center"/>
          </w:tcPr>
          <w:p>
            <w:pPr>
              <w:widowControl/>
              <w:spacing w:line="300" w:lineRule="exact"/>
              <w:jc w:val="left"/>
              <w:rPr>
                <w:rFonts w:hint="eastAsia" w:ascii="宋体" w:hAnsi="宋体" w:eastAsia="宋体" w:cs="宋体"/>
                <w:kern w:val="0"/>
                <w:sz w:val="24"/>
                <w:szCs w:val="24"/>
              </w:rPr>
            </w:pP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41" w:hRule="atLeast"/>
        </w:trPr>
        <w:tc>
          <w:tcPr>
            <w:tcW w:w="1188" w:type="dxa"/>
            <w:vAlign w:val="top"/>
          </w:tcPr>
          <w:p>
            <w:pPr>
              <w:spacing w:line="300" w:lineRule="exact"/>
              <w:ind w:firstLine="239" w:firstLineChars="99"/>
              <w:rPr>
                <w:rFonts w:hint="eastAsia" w:ascii="宋体" w:hAnsi="宋体" w:eastAsia="宋体" w:cs="宋体"/>
                <w:b/>
                <w:kern w:val="0"/>
                <w:sz w:val="24"/>
                <w:szCs w:val="24"/>
              </w:rPr>
            </w:pPr>
          </w:p>
          <w:p>
            <w:pPr>
              <w:spacing w:line="300" w:lineRule="exact"/>
              <w:rPr>
                <w:rFonts w:hint="eastAsia" w:ascii="宋体" w:hAnsi="宋体" w:eastAsia="宋体" w:cs="宋体"/>
                <w:b/>
                <w:kern w:val="0"/>
                <w:sz w:val="24"/>
                <w:szCs w:val="24"/>
              </w:rPr>
            </w:pPr>
            <w:r>
              <w:rPr>
                <w:rFonts w:hint="eastAsia" w:ascii="宋体" w:hAnsi="宋体" w:eastAsia="宋体" w:cs="宋体"/>
                <w:b/>
                <w:kern w:val="0"/>
                <w:sz w:val="24"/>
                <w:szCs w:val="24"/>
              </w:rPr>
              <w:t>公 开常态化</w:t>
            </w:r>
          </w:p>
          <w:p>
            <w:pPr>
              <w:spacing w:line="300" w:lineRule="exact"/>
              <w:rPr>
                <w:rFonts w:hint="eastAsia" w:ascii="宋体" w:hAnsi="宋体" w:eastAsia="宋体" w:cs="宋体"/>
                <w:b/>
                <w:kern w:val="0"/>
                <w:sz w:val="24"/>
                <w:szCs w:val="24"/>
              </w:rPr>
            </w:pPr>
            <w:r>
              <w:rPr>
                <w:rFonts w:hint="eastAsia" w:ascii="宋体" w:hAnsi="宋体" w:eastAsia="宋体" w:cs="宋体"/>
                <w:b/>
                <w:kern w:val="0"/>
                <w:sz w:val="24"/>
                <w:szCs w:val="24"/>
              </w:rPr>
              <w:t>(15分）</w:t>
            </w:r>
          </w:p>
        </w:tc>
        <w:tc>
          <w:tcPr>
            <w:tcW w:w="1790" w:type="dxa"/>
            <w:vAlign w:val="center"/>
          </w:tcPr>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信息公开</w:t>
            </w:r>
          </w:p>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（15分）</w:t>
            </w:r>
          </w:p>
        </w:tc>
        <w:tc>
          <w:tcPr>
            <w:tcW w:w="7210" w:type="dxa"/>
            <w:vAlign w:val="top"/>
          </w:tcPr>
          <w:p>
            <w:pPr>
              <w:widowControl/>
              <w:spacing w:line="300" w:lineRule="exact"/>
              <w:rPr>
                <w:rFonts w:hint="eastAsia" w:ascii="仿宋_GB2312"/>
                <w:color w:val="000000"/>
                <w:sz w:val="24"/>
                <w:szCs w:val="24"/>
              </w:rPr>
            </w:pPr>
            <w:r>
              <w:rPr>
                <w:rFonts w:hint="eastAsia" w:ascii="仿宋_GB2312"/>
                <w:color w:val="000000"/>
                <w:sz w:val="24"/>
                <w:szCs w:val="24"/>
              </w:rPr>
              <w:t>1.公示工作站主要职责、服务内容、工作人员。（3分）</w:t>
            </w:r>
          </w:p>
          <w:p>
            <w:pPr>
              <w:widowControl/>
              <w:spacing w:line="300" w:lineRule="exact"/>
              <w:rPr>
                <w:rFonts w:hint="eastAsia" w:ascii="仿宋_GB2312"/>
                <w:color w:val="000000"/>
                <w:sz w:val="24"/>
                <w:szCs w:val="24"/>
              </w:rPr>
            </w:pPr>
            <w:r>
              <w:rPr>
                <w:rFonts w:hint="eastAsia" w:ascii="仿宋_GB2312"/>
                <w:color w:val="000000"/>
                <w:sz w:val="24"/>
                <w:szCs w:val="24"/>
              </w:rPr>
              <w:t>2.公共法律服务事项的条件、程序及救济途径等。（3分）</w:t>
            </w:r>
          </w:p>
          <w:p>
            <w:pPr>
              <w:widowControl/>
              <w:spacing w:line="300" w:lineRule="exact"/>
              <w:rPr>
                <w:rFonts w:hint="eastAsia" w:ascii="仿宋_GB2312"/>
                <w:color w:val="000000"/>
                <w:sz w:val="24"/>
                <w:szCs w:val="24"/>
              </w:rPr>
            </w:pPr>
            <w:r>
              <w:rPr>
                <w:rFonts w:hint="eastAsia" w:ascii="仿宋_GB2312"/>
                <w:color w:val="000000"/>
                <w:sz w:val="24"/>
                <w:szCs w:val="24"/>
              </w:rPr>
              <w:t>3.公共法律服务监督、投诉电话。（2分）</w:t>
            </w:r>
          </w:p>
          <w:p>
            <w:pPr>
              <w:widowControl/>
              <w:spacing w:line="300" w:lineRule="exact"/>
              <w:rPr>
                <w:rFonts w:hint="eastAsia" w:ascii="仿宋_GB2312"/>
                <w:color w:val="000000"/>
                <w:sz w:val="24"/>
                <w:szCs w:val="24"/>
              </w:rPr>
            </w:pPr>
            <w:r>
              <w:rPr>
                <w:rFonts w:hint="eastAsia" w:ascii="仿宋_GB2312"/>
                <w:color w:val="000000"/>
                <w:sz w:val="24"/>
                <w:szCs w:val="24"/>
              </w:rPr>
              <w:t>4.公示宁夏“12348”公共法律服务热线、宁夏法律服务网、宁夏掌上“12348”微信公众号及宁夏法律服务网APP二维码、宁夏法治公众号。（5分）</w:t>
            </w:r>
          </w:p>
          <w:p>
            <w:pPr>
              <w:widowControl/>
              <w:spacing w:line="300" w:lineRule="exact"/>
              <w:rPr>
                <w:rFonts w:hint="eastAsia" w:ascii="仿宋_GB2312"/>
                <w:color w:val="000000"/>
                <w:sz w:val="24"/>
                <w:szCs w:val="24"/>
              </w:rPr>
            </w:pPr>
            <w:r>
              <w:rPr>
                <w:rFonts w:hint="eastAsia" w:ascii="仿宋_GB2312"/>
                <w:color w:val="000000"/>
                <w:sz w:val="24"/>
                <w:szCs w:val="24"/>
              </w:rPr>
              <w:t>5.县域范围内法律服务机构导引指示栏。（2分）</w:t>
            </w:r>
          </w:p>
        </w:tc>
        <w:tc>
          <w:tcPr>
            <w:tcW w:w="1080" w:type="dxa"/>
            <w:vMerge w:val="restart"/>
            <w:vAlign w:val="center"/>
          </w:tcPr>
          <w:p>
            <w:pPr>
              <w:widowControl/>
              <w:spacing w:line="3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实地查看和座谈交流</w:t>
            </w: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41" w:hRule="atLeast"/>
        </w:trPr>
        <w:tc>
          <w:tcPr>
            <w:tcW w:w="1188" w:type="dxa"/>
            <w:vMerge w:val="restart"/>
            <w:vAlign w:val="top"/>
          </w:tcPr>
          <w:p>
            <w:pPr>
              <w:spacing w:line="300" w:lineRule="exact"/>
              <w:ind w:firstLine="239" w:firstLineChars="99"/>
              <w:rPr>
                <w:rFonts w:hint="eastAsia" w:ascii="宋体" w:hAnsi="宋体" w:eastAsia="宋体" w:cs="宋体"/>
                <w:b/>
                <w:kern w:val="0"/>
                <w:sz w:val="24"/>
                <w:szCs w:val="24"/>
              </w:rPr>
            </w:pPr>
          </w:p>
          <w:p>
            <w:pPr>
              <w:spacing w:line="300" w:lineRule="exact"/>
              <w:ind w:firstLine="118" w:firstLineChars="49"/>
              <w:rPr>
                <w:rFonts w:hint="eastAsia" w:ascii="宋体" w:hAnsi="宋体" w:eastAsia="宋体" w:cs="宋体"/>
                <w:b/>
                <w:kern w:val="0"/>
                <w:sz w:val="24"/>
                <w:szCs w:val="24"/>
              </w:rPr>
            </w:pPr>
          </w:p>
          <w:p>
            <w:pPr>
              <w:spacing w:line="300" w:lineRule="exact"/>
              <w:ind w:firstLine="118" w:firstLineChars="49"/>
              <w:rPr>
                <w:rFonts w:hint="eastAsia" w:ascii="宋体" w:hAnsi="宋体" w:eastAsia="宋体" w:cs="宋体"/>
                <w:b/>
                <w:kern w:val="0"/>
                <w:sz w:val="24"/>
                <w:szCs w:val="24"/>
              </w:rPr>
            </w:pPr>
          </w:p>
          <w:p>
            <w:pPr>
              <w:spacing w:line="300" w:lineRule="exact"/>
              <w:ind w:firstLine="118" w:firstLineChars="49"/>
              <w:rPr>
                <w:rFonts w:hint="eastAsia" w:ascii="宋体" w:hAnsi="宋体" w:eastAsia="宋体" w:cs="宋体"/>
                <w:b/>
                <w:kern w:val="0"/>
                <w:sz w:val="24"/>
                <w:szCs w:val="24"/>
              </w:rPr>
            </w:pPr>
          </w:p>
          <w:p>
            <w:pPr>
              <w:spacing w:line="300" w:lineRule="exact"/>
              <w:rPr>
                <w:rFonts w:hint="eastAsia" w:ascii="宋体" w:hAnsi="宋体" w:eastAsia="宋体" w:cs="宋体"/>
                <w:b/>
                <w:kern w:val="0"/>
                <w:sz w:val="24"/>
                <w:szCs w:val="24"/>
              </w:rPr>
            </w:pPr>
          </w:p>
          <w:p>
            <w:pPr>
              <w:spacing w:line="300" w:lineRule="exact"/>
              <w:ind w:firstLine="118" w:firstLineChars="49"/>
              <w:rPr>
                <w:rFonts w:hint="eastAsia" w:ascii="宋体" w:hAnsi="宋体" w:eastAsia="宋体" w:cs="宋体"/>
                <w:b/>
                <w:kern w:val="0"/>
                <w:sz w:val="24"/>
                <w:szCs w:val="24"/>
              </w:rPr>
            </w:pPr>
            <w:r>
              <w:rPr>
                <w:rFonts w:hint="eastAsia" w:ascii="宋体" w:hAnsi="宋体" w:eastAsia="宋体" w:cs="宋体"/>
                <w:b/>
                <w:kern w:val="0"/>
                <w:sz w:val="24"/>
                <w:szCs w:val="24"/>
              </w:rPr>
              <w:t>管理规范化</w:t>
            </w:r>
          </w:p>
          <w:p>
            <w:pPr>
              <w:spacing w:line="300" w:lineRule="exact"/>
              <w:rPr>
                <w:rFonts w:hint="eastAsia" w:ascii="宋体" w:hAnsi="宋体" w:eastAsia="宋体" w:cs="宋体"/>
                <w:b/>
                <w:kern w:val="0"/>
                <w:sz w:val="24"/>
                <w:szCs w:val="24"/>
              </w:rPr>
            </w:pPr>
            <w:r>
              <w:rPr>
                <w:rFonts w:hint="eastAsia" w:ascii="宋体" w:hAnsi="宋体" w:eastAsia="宋体" w:cs="宋体"/>
                <w:b/>
                <w:kern w:val="0"/>
                <w:sz w:val="24"/>
                <w:szCs w:val="24"/>
              </w:rPr>
              <w:t>(10分）</w:t>
            </w:r>
          </w:p>
        </w:tc>
        <w:tc>
          <w:tcPr>
            <w:tcW w:w="1790" w:type="dxa"/>
            <w:vAlign w:val="center"/>
          </w:tcPr>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规范管理</w:t>
            </w:r>
          </w:p>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（5分）</w:t>
            </w:r>
          </w:p>
        </w:tc>
        <w:tc>
          <w:tcPr>
            <w:tcW w:w="7210" w:type="dxa"/>
            <w:vAlign w:val="top"/>
          </w:tcPr>
          <w:p>
            <w:pPr>
              <w:widowControl/>
              <w:spacing w:line="300" w:lineRule="exact"/>
              <w:rPr>
                <w:rFonts w:hint="eastAsia" w:ascii="仿宋_GB2312"/>
                <w:color w:val="000000"/>
                <w:sz w:val="24"/>
                <w:szCs w:val="24"/>
              </w:rPr>
            </w:pPr>
            <w:r>
              <w:rPr>
                <w:rFonts w:hint="eastAsia" w:ascii="仿宋_GB2312"/>
                <w:color w:val="000000"/>
                <w:sz w:val="24"/>
                <w:szCs w:val="24"/>
              </w:rPr>
              <w:t>1.首问责任制、首办责任制、限时办结制、责任追究制、一次性告知制等制度建设。（1分）</w:t>
            </w:r>
          </w:p>
          <w:p>
            <w:pPr>
              <w:widowControl/>
              <w:spacing w:line="300" w:lineRule="exact"/>
              <w:rPr>
                <w:rFonts w:hint="eastAsia" w:ascii="仿宋_GB2312"/>
                <w:color w:val="000000"/>
                <w:sz w:val="24"/>
                <w:szCs w:val="24"/>
              </w:rPr>
            </w:pPr>
            <w:r>
              <w:rPr>
                <w:rFonts w:hint="eastAsia" w:ascii="仿宋_GB2312"/>
                <w:color w:val="000000"/>
                <w:sz w:val="24"/>
                <w:szCs w:val="24"/>
              </w:rPr>
              <w:t>2.建立来信来访制度、解答咨询、受理申请、登记归档、投诉处理等工作规范，完善岗位责任制度。（1分）</w:t>
            </w:r>
          </w:p>
          <w:p>
            <w:pPr>
              <w:widowControl/>
              <w:spacing w:line="300" w:lineRule="exact"/>
              <w:rPr>
                <w:rFonts w:hint="eastAsia" w:ascii="仿宋_GB2312"/>
                <w:color w:val="000000"/>
                <w:sz w:val="24"/>
                <w:szCs w:val="24"/>
              </w:rPr>
            </w:pPr>
            <w:r>
              <w:rPr>
                <w:rFonts w:hint="eastAsia" w:ascii="仿宋_GB2312"/>
                <w:color w:val="000000"/>
                <w:sz w:val="24"/>
                <w:szCs w:val="24"/>
              </w:rPr>
              <w:t>3.建立法律咨询、申请受理和案件办理服务评价机制，对相关岗位、人员的服务测评情况定期通报。（1分）</w:t>
            </w:r>
          </w:p>
          <w:p>
            <w:pPr>
              <w:widowControl/>
              <w:spacing w:line="300" w:lineRule="exact"/>
              <w:rPr>
                <w:rFonts w:hint="eastAsia" w:ascii="仿宋_GB2312"/>
                <w:color w:val="000000"/>
                <w:sz w:val="24"/>
                <w:szCs w:val="24"/>
              </w:rPr>
            </w:pPr>
            <w:r>
              <w:rPr>
                <w:rFonts w:hint="eastAsia" w:ascii="仿宋_GB2312"/>
                <w:color w:val="000000"/>
                <w:sz w:val="24"/>
                <w:szCs w:val="24"/>
              </w:rPr>
              <w:t>4.业务台帐健全（1分）。</w:t>
            </w:r>
          </w:p>
          <w:p>
            <w:pPr>
              <w:widowControl/>
              <w:spacing w:line="300" w:lineRule="exact"/>
              <w:rPr>
                <w:rFonts w:hint="eastAsia" w:ascii="仿宋_GB2312"/>
                <w:color w:val="000000"/>
                <w:sz w:val="24"/>
                <w:szCs w:val="24"/>
              </w:rPr>
            </w:pPr>
            <w:r>
              <w:rPr>
                <w:rFonts w:hint="eastAsia" w:ascii="仿宋_GB2312"/>
                <w:color w:val="000000"/>
                <w:sz w:val="24"/>
                <w:szCs w:val="24"/>
              </w:rPr>
              <w:t>5.对群众反映的问题及时转办、交办，及时反馈，对负面舆情信息，及时应对，相关资料存档备查。（1分）</w:t>
            </w:r>
          </w:p>
        </w:tc>
        <w:tc>
          <w:tcPr>
            <w:tcW w:w="1080" w:type="dxa"/>
            <w:vMerge w:val="continue"/>
            <w:vAlign w:val="center"/>
          </w:tcPr>
          <w:p>
            <w:pPr>
              <w:widowControl/>
              <w:spacing w:line="300" w:lineRule="exact"/>
              <w:jc w:val="left"/>
              <w:rPr>
                <w:rFonts w:hint="eastAsia" w:ascii="宋体" w:hAnsi="宋体" w:eastAsia="宋体" w:cs="宋体"/>
                <w:kern w:val="0"/>
                <w:sz w:val="24"/>
                <w:szCs w:val="24"/>
              </w:rPr>
            </w:pP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06" w:hRule="atLeast"/>
        </w:trPr>
        <w:tc>
          <w:tcPr>
            <w:tcW w:w="1188" w:type="dxa"/>
            <w:vMerge w:val="continue"/>
            <w:vAlign w:val="top"/>
          </w:tcPr>
          <w:p>
            <w:pPr>
              <w:spacing w:line="300" w:lineRule="exact"/>
              <w:ind w:firstLine="239" w:firstLineChars="99"/>
              <w:rPr>
                <w:rFonts w:hint="eastAsia" w:ascii="宋体" w:hAnsi="宋体" w:eastAsia="宋体" w:cs="宋体"/>
                <w:b/>
                <w:kern w:val="0"/>
                <w:sz w:val="24"/>
                <w:szCs w:val="24"/>
              </w:rPr>
            </w:pPr>
          </w:p>
        </w:tc>
        <w:tc>
          <w:tcPr>
            <w:tcW w:w="1790" w:type="dxa"/>
            <w:vAlign w:val="center"/>
          </w:tcPr>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政策知识</w:t>
            </w:r>
          </w:p>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（5分）</w:t>
            </w:r>
          </w:p>
        </w:tc>
        <w:tc>
          <w:tcPr>
            <w:tcW w:w="7210" w:type="dxa"/>
            <w:vAlign w:val="top"/>
          </w:tcPr>
          <w:p>
            <w:pPr>
              <w:widowControl/>
              <w:spacing w:line="300" w:lineRule="exact"/>
              <w:rPr>
                <w:rFonts w:hint="eastAsia" w:ascii="仿宋_GB2312"/>
                <w:color w:val="000000"/>
                <w:sz w:val="24"/>
                <w:szCs w:val="24"/>
              </w:rPr>
            </w:pPr>
            <w:r>
              <w:rPr>
                <w:rFonts w:hint="eastAsia" w:ascii="仿宋_GB2312"/>
                <w:color w:val="000000"/>
                <w:sz w:val="24"/>
                <w:szCs w:val="24"/>
              </w:rPr>
              <w:t>1了解宁党办〔2018〕37号、宁司通〔2017〕114号、宁司通〔2018〕19号文件及全国公共法律服务平台建设现场推进会精神等公共法律服务体系建设政策（3分）。</w:t>
            </w:r>
          </w:p>
          <w:p>
            <w:pPr>
              <w:widowControl/>
              <w:spacing w:line="300" w:lineRule="exact"/>
              <w:rPr>
                <w:rFonts w:hint="eastAsia" w:ascii="仿宋_GB2312"/>
                <w:color w:val="000000"/>
                <w:sz w:val="24"/>
                <w:szCs w:val="24"/>
              </w:rPr>
            </w:pPr>
            <w:r>
              <w:rPr>
                <w:rFonts w:hint="eastAsia" w:ascii="仿宋_GB2312"/>
                <w:color w:val="000000"/>
                <w:sz w:val="24"/>
                <w:szCs w:val="24"/>
              </w:rPr>
              <w:t>3.清晰掌握公共法律服务工作站存在问题清楚及下一步工作思路清晰（2分）。</w:t>
            </w:r>
          </w:p>
        </w:tc>
        <w:tc>
          <w:tcPr>
            <w:tcW w:w="1080" w:type="dxa"/>
            <w:vMerge w:val="continue"/>
            <w:vAlign w:val="center"/>
          </w:tcPr>
          <w:p>
            <w:pPr>
              <w:widowControl/>
              <w:spacing w:line="300" w:lineRule="exact"/>
              <w:jc w:val="left"/>
              <w:rPr>
                <w:rFonts w:hint="eastAsia" w:ascii="宋体" w:hAnsi="宋体" w:eastAsia="宋体" w:cs="宋体"/>
                <w:kern w:val="0"/>
                <w:sz w:val="24"/>
                <w:szCs w:val="24"/>
              </w:rPr>
            </w:pP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96" w:hRule="atLeast"/>
        </w:trPr>
        <w:tc>
          <w:tcPr>
            <w:tcW w:w="1188" w:type="dxa"/>
            <w:vAlign w:val="top"/>
          </w:tcPr>
          <w:p>
            <w:pPr>
              <w:spacing w:line="300" w:lineRule="exact"/>
              <w:ind w:firstLine="239" w:firstLineChars="99"/>
              <w:rPr>
                <w:rFonts w:hint="eastAsia" w:ascii="宋体" w:hAnsi="宋体" w:eastAsia="宋体" w:cs="宋体"/>
                <w:b/>
                <w:kern w:val="0"/>
                <w:sz w:val="24"/>
                <w:szCs w:val="24"/>
              </w:rPr>
            </w:pPr>
          </w:p>
          <w:p>
            <w:pPr>
              <w:spacing w:line="300" w:lineRule="exact"/>
              <w:ind w:firstLine="118" w:firstLineChars="49"/>
              <w:rPr>
                <w:rFonts w:hint="eastAsia" w:ascii="宋体" w:hAnsi="宋体" w:eastAsia="宋体" w:cs="宋体"/>
                <w:b/>
                <w:kern w:val="0"/>
                <w:sz w:val="24"/>
                <w:szCs w:val="24"/>
              </w:rPr>
            </w:pPr>
            <w:r>
              <w:rPr>
                <w:rFonts w:hint="eastAsia" w:ascii="宋体" w:hAnsi="宋体" w:eastAsia="宋体" w:cs="宋体"/>
                <w:b/>
                <w:kern w:val="0"/>
                <w:sz w:val="24"/>
                <w:szCs w:val="24"/>
              </w:rPr>
              <w:t>工作信息化</w:t>
            </w:r>
          </w:p>
          <w:p>
            <w:pPr>
              <w:spacing w:line="300" w:lineRule="exact"/>
              <w:rPr>
                <w:rFonts w:hint="eastAsia" w:ascii="宋体" w:hAnsi="宋体" w:eastAsia="宋体" w:cs="宋体"/>
                <w:b/>
                <w:kern w:val="0"/>
                <w:sz w:val="24"/>
                <w:szCs w:val="24"/>
              </w:rPr>
            </w:pPr>
            <w:r>
              <w:rPr>
                <w:rFonts w:hint="eastAsia" w:ascii="宋体" w:hAnsi="宋体" w:eastAsia="宋体" w:cs="宋体"/>
                <w:b/>
                <w:kern w:val="0"/>
                <w:sz w:val="24"/>
                <w:szCs w:val="24"/>
              </w:rPr>
              <w:t>(5分）</w:t>
            </w:r>
          </w:p>
        </w:tc>
        <w:tc>
          <w:tcPr>
            <w:tcW w:w="1790" w:type="dxa"/>
            <w:vAlign w:val="center"/>
          </w:tcPr>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信息化应用</w:t>
            </w:r>
          </w:p>
          <w:p>
            <w:pPr>
              <w:widowControl/>
              <w:spacing w:line="3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（5分）</w:t>
            </w:r>
          </w:p>
        </w:tc>
        <w:tc>
          <w:tcPr>
            <w:tcW w:w="7210" w:type="dxa"/>
            <w:vAlign w:val="top"/>
          </w:tcPr>
          <w:p>
            <w:pPr>
              <w:widowControl/>
              <w:numPr>
                <w:ilvl w:val="0"/>
                <w:numId w:val="3"/>
              </w:numPr>
              <w:spacing w:line="300" w:lineRule="exact"/>
              <w:rPr>
                <w:rFonts w:hint="eastAsia" w:ascii="仿宋_GB2312"/>
                <w:color w:val="000000"/>
                <w:sz w:val="24"/>
                <w:szCs w:val="24"/>
              </w:rPr>
            </w:pPr>
            <w:r>
              <w:rPr>
                <w:rFonts w:hint="eastAsia" w:ascii="仿宋_GB2312"/>
                <w:color w:val="000000"/>
                <w:sz w:val="24"/>
                <w:szCs w:val="24"/>
              </w:rPr>
              <w:t>计算机连接互联网和司法厅内网。（1分）</w:t>
            </w:r>
          </w:p>
          <w:p>
            <w:pPr>
              <w:widowControl/>
              <w:numPr>
                <w:ilvl w:val="0"/>
                <w:numId w:val="3"/>
              </w:numPr>
              <w:spacing w:line="300" w:lineRule="exact"/>
              <w:rPr>
                <w:rFonts w:hint="eastAsia" w:ascii="仿宋_GB2312"/>
                <w:color w:val="000000"/>
                <w:sz w:val="24"/>
                <w:szCs w:val="24"/>
              </w:rPr>
            </w:pPr>
            <w:r>
              <w:rPr>
                <w:rFonts w:hint="eastAsia" w:ascii="仿宋_GB2312"/>
                <w:color w:val="000000"/>
                <w:sz w:val="24"/>
                <w:szCs w:val="24"/>
              </w:rPr>
              <w:t>法律援助初审从网上直通，可随时进行查阅。（1分）</w:t>
            </w:r>
          </w:p>
          <w:p>
            <w:pPr>
              <w:widowControl/>
              <w:numPr>
                <w:ilvl w:val="0"/>
                <w:numId w:val="3"/>
              </w:numPr>
              <w:spacing w:line="300" w:lineRule="exact"/>
              <w:rPr>
                <w:rFonts w:hint="eastAsia" w:ascii="仿宋_GB2312"/>
                <w:b/>
                <w:bCs/>
                <w:color w:val="000000"/>
                <w:sz w:val="24"/>
                <w:szCs w:val="24"/>
              </w:rPr>
            </w:pPr>
            <w:r>
              <w:rPr>
                <w:rFonts w:hint="eastAsia" w:ascii="仿宋_GB2312"/>
                <w:b/>
                <w:bCs/>
                <w:color w:val="000000"/>
                <w:sz w:val="24"/>
                <w:szCs w:val="24"/>
              </w:rPr>
              <w:t>建立远程视频咨询、远程视频会见。（2分）</w:t>
            </w:r>
          </w:p>
          <w:p>
            <w:pPr>
              <w:widowControl/>
              <w:numPr>
                <w:ilvl w:val="0"/>
                <w:numId w:val="3"/>
              </w:numPr>
              <w:spacing w:line="300" w:lineRule="exact"/>
              <w:rPr>
                <w:rFonts w:hint="eastAsia" w:ascii="仿宋_GB2312"/>
                <w:color w:val="000000"/>
                <w:sz w:val="24"/>
                <w:szCs w:val="24"/>
              </w:rPr>
            </w:pPr>
            <w:r>
              <w:rPr>
                <w:rFonts w:hint="eastAsia" w:ascii="仿宋_GB2312"/>
                <w:color w:val="000000"/>
                <w:sz w:val="24"/>
                <w:szCs w:val="24"/>
              </w:rPr>
              <w:t>通过查询机或其他电子设备可方便群众浏览宁夏法律</w:t>
            </w:r>
          </w:p>
          <w:p>
            <w:pPr>
              <w:widowControl/>
              <w:spacing w:line="300" w:lineRule="exact"/>
              <w:rPr>
                <w:rFonts w:hint="eastAsia" w:ascii="仿宋_GB2312"/>
                <w:color w:val="000000"/>
                <w:sz w:val="24"/>
                <w:szCs w:val="24"/>
              </w:rPr>
            </w:pPr>
            <w:r>
              <w:rPr>
                <w:rFonts w:hint="eastAsia" w:ascii="仿宋_GB2312"/>
                <w:color w:val="000000"/>
                <w:sz w:val="24"/>
                <w:szCs w:val="24"/>
              </w:rPr>
              <w:t>服务网。（1分）</w:t>
            </w: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080" w:type="dxa"/>
            <w:vAlign w:val="center"/>
          </w:tcPr>
          <w:p>
            <w:pPr>
              <w:widowControl/>
              <w:spacing w:line="300" w:lineRule="exact"/>
              <w:jc w:val="left"/>
              <w:rPr>
                <w:rFonts w:hint="eastAsia" w:ascii="宋体" w:hAnsi="宋体" w:eastAsia="宋体" w:cs="宋体"/>
                <w:kern w:val="0"/>
                <w:sz w:val="24"/>
                <w:szCs w:val="24"/>
              </w:rPr>
            </w:pPr>
          </w:p>
        </w:tc>
        <w:tc>
          <w:tcPr>
            <w:tcW w:w="1627" w:type="dxa"/>
            <w:vAlign w:val="center"/>
          </w:tcPr>
          <w:p>
            <w:pPr>
              <w:widowControl/>
              <w:spacing w:line="300" w:lineRule="exact"/>
              <w:jc w:val="left"/>
              <w:rPr>
                <w:rFonts w:hint="eastAsia" w:ascii="仿宋_GB2312" w:hAnsi="宋体" w:cs="宋体"/>
                <w:kern w:val="0"/>
                <w:sz w:val="24"/>
                <w:szCs w:val="24"/>
              </w:rPr>
            </w:pPr>
          </w:p>
        </w:tc>
      </w:tr>
    </w:tbl>
    <w:p>
      <w:pPr>
        <w:spacing w:line="3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说明：1.本次验收考核共100分，基本分85分，创新工作15分(加黑部分)。2.没有列入验收范围，工作站增加的工作内容要详细记录到“备注”栏，但不单独加分。</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简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79E58D"/>
    <w:multiLevelType w:val="singleLevel"/>
    <w:tmpl w:val="AC79E58D"/>
    <w:lvl w:ilvl="0" w:tentative="0">
      <w:start w:val="1"/>
      <w:numFmt w:val="decimal"/>
      <w:lvlText w:val="%1."/>
      <w:lvlJc w:val="left"/>
      <w:pPr>
        <w:tabs>
          <w:tab w:val="left" w:pos="312"/>
        </w:tabs>
      </w:pPr>
    </w:lvl>
  </w:abstractNum>
  <w:abstractNum w:abstractNumId="1">
    <w:nsid w:val="B25A2C5F"/>
    <w:multiLevelType w:val="singleLevel"/>
    <w:tmpl w:val="B25A2C5F"/>
    <w:lvl w:ilvl="0" w:tentative="0">
      <w:start w:val="1"/>
      <w:numFmt w:val="decimal"/>
      <w:lvlText w:val="%1."/>
      <w:lvlJc w:val="left"/>
      <w:pPr>
        <w:tabs>
          <w:tab w:val="left" w:pos="312"/>
        </w:tabs>
      </w:pPr>
    </w:lvl>
  </w:abstractNum>
  <w:abstractNum w:abstractNumId="2">
    <w:nsid w:val="17AA7897"/>
    <w:multiLevelType w:val="multilevel"/>
    <w:tmpl w:val="17AA789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23405"/>
    <w:rsid w:val="51D23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2018-09-25T06:34:00Z</dcterms:created>
  <dc:creator>YingNa</dc:creator>
  <cp:lastModifiedBy>YingNa</cp:lastModifiedBy>
  <dcterms:modified xsi:type="dcterms:W3CDTF">2018-09-25T06:34:19Z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