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      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全区领导干部现场旁听庭审分配表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tbl>
      <w:tblPr>
        <w:tblStyle w:val="5"/>
        <w:tblW w:w="960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932"/>
        <w:gridCol w:w="674"/>
        <w:gridCol w:w="809"/>
        <w:gridCol w:w="3796"/>
        <w:gridCol w:w="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位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人数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位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市纪委监委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33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市扶贫办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市委办公室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34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市人民防空办公室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市信访局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35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市医疗保障局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市委组织部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36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市粮食和物资储备局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市委人才工作局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37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市交通运输局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市委宣传部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市水务局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市委统战部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市农业农村局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市委政法委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市商务局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市委政研室</w:t>
            </w:r>
            <w:r>
              <w:rPr>
                <w:rStyle w:val="7"/>
                <w:rFonts w:eastAsia="宋体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市文化旅游广电局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color w:val="000000"/>
                <w:sz w:val="24"/>
                <w:szCs w:val="24"/>
                <w:lang w:val="en-US" w:eastAsia="zh-CN" w:bidi="ar"/>
              </w:rPr>
              <w:t>市委网信办</w:t>
            </w:r>
            <w:r>
              <w:rPr>
                <w:rStyle w:val="9"/>
                <w:rFonts w:eastAsia="宋体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市委编办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市审计局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市直机关工委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市市场监督管理局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市委党校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市国资委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银川新闻传媒集团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市体育局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市人大常委会机关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市应急管理局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市政府办公室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市统计局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市政协机关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市园林管理局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市综合执法监督局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市发改委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市市政管理局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市工信局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市政府外事办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市教育局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市投资促进局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市科技局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市金融工作局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市民委（宗教事务局）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市审批服务管理局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市地震局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市民政局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市政府研究室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26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市退役军人事务局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市土地储备局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27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市司法局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市代建局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28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市财政局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国家税务总局银川市税务局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29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市人力资源社会保障局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市烟草专卖局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市自然资源局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兴庆区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31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金凤区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32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市住房城乡建设局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074BF"/>
    <w:rsid w:val="7EA074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ascii="Calibri" w:hAnsi="Calibri" w:eastAsia="宋体" w:cs="Times New Roman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3"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9">
    <w:name w:val="font11"/>
    <w:basedOn w:val="3"/>
    <w:qFormat/>
    <w:uiPriority w:val="0"/>
    <w:rPr>
      <w:rFonts w:hint="default" w:ascii="Arial" w:hAnsi="Arial" w:cs="Arial"/>
      <w:color w:val="FF0000"/>
      <w:sz w:val="24"/>
      <w:szCs w:val="24"/>
      <w:u w:val="none"/>
    </w:rPr>
  </w:style>
  <w:style w:type="character" w:customStyle="1" w:styleId="10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2019-12-02T05:26:00Z</dcterms:created>
  <dc:creator>YingNa</dc:creator>
  <cp:lastModifiedBy>YingNa</cp:lastModifiedBy>
  <dcterms:modified xsi:type="dcterms:W3CDTF">2019-12-02T05:26:24Z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