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附件1</w:t>
      </w:r>
    </w:p>
    <w:p>
      <w:pPr>
        <w:jc w:val="center"/>
        <w:rPr>
          <w:rFonts w:hint="eastAsia" w:ascii="方正小标宋_GBK" w:hAnsi="方正小标宋_GBK" w:eastAsia="方正小标宋_GBK" w:cs="方正小标宋_GBK"/>
          <w:sz w:val="44"/>
          <w:szCs w:val="44"/>
          <w:lang w:val="en-US" w:eastAsia="zh-CN"/>
        </w:rPr>
      </w:pPr>
      <w:bookmarkStart w:id="0" w:name="_GoBack"/>
      <w:r>
        <w:rPr>
          <w:rFonts w:hint="eastAsia" w:ascii="方正小标宋_GBK" w:hAnsi="方正小标宋_GBK" w:eastAsia="方正小标宋_GBK" w:cs="方正小标宋_GBK"/>
          <w:sz w:val="44"/>
          <w:szCs w:val="44"/>
          <w:lang w:val="en-US" w:eastAsia="zh-CN"/>
        </w:rPr>
        <w:t>宁夏司法所标准化建设验收细则</w:t>
      </w:r>
      <w:bookmarkEnd w:id="0"/>
    </w:p>
    <w:p>
      <w:pPr>
        <w:pStyle w:val="6"/>
        <w:rPr>
          <w:rFonts w:hint="eastAsia"/>
          <w:color w:val="000000"/>
          <w:lang w:val="en-US" w:eastAsia="zh-CN"/>
        </w:rPr>
      </w:pPr>
    </w:p>
    <w:tbl>
      <w:tblPr>
        <w:tblStyle w:val="8"/>
        <w:tblW w:w="0" w:type="auto"/>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5"/>
        <w:gridCol w:w="7991"/>
        <w:gridCol w:w="3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sz w:val="24"/>
                <w:szCs w:val="24"/>
                <w:vertAlign w:val="baseline"/>
                <w:lang w:val="en-US" w:eastAsia="zh-CN"/>
              </w:rPr>
            </w:pPr>
            <w:r>
              <w:rPr>
                <w:rFonts w:hint="eastAsia" w:ascii="宋体" w:hAnsi="宋体" w:cs="宋体"/>
                <w:b/>
                <w:bCs/>
                <w:color w:val="000000"/>
                <w:sz w:val="24"/>
                <w:szCs w:val="24"/>
                <w:lang w:val="en-US" w:eastAsia="zh-CN"/>
              </w:rPr>
              <w:t>验收</w:t>
            </w:r>
            <w:r>
              <w:rPr>
                <w:rFonts w:hint="eastAsia" w:ascii="宋体" w:hAnsi="宋体" w:eastAsia="宋体" w:cs="宋体"/>
                <w:b/>
                <w:bCs/>
                <w:color w:val="000000"/>
                <w:sz w:val="24"/>
                <w:szCs w:val="24"/>
                <w:lang w:val="en-US" w:eastAsia="zh-CN"/>
              </w:rPr>
              <w:t>项目</w:t>
            </w:r>
          </w:p>
        </w:tc>
        <w:tc>
          <w:tcPr>
            <w:tcW w:w="7991"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sz w:val="24"/>
                <w:szCs w:val="24"/>
                <w:vertAlign w:val="baseline"/>
                <w:lang w:val="en-US" w:eastAsia="zh-CN"/>
              </w:rPr>
            </w:pPr>
            <w:r>
              <w:rPr>
                <w:rFonts w:hint="eastAsia" w:ascii="宋体" w:hAnsi="宋体" w:eastAsia="宋体" w:cs="宋体"/>
                <w:b/>
                <w:bCs/>
                <w:color w:val="000000"/>
                <w:sz w:val="24"/>
                <w:szCs w:val="24"/>
                <w:lang w:val="en-US" w:eastAsia="zh-CN"/>
              </w:rPr>
              <w:t>验收内容</w:t>
            </w:r>
          </w:p>
        </w:tc>
        <w:tc>
          <w:tcPr>
            <w:tcW w:w="3546"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sz w:val="24"/>
                <w:szCs w:val="24"/>
                <w:vertAlign w:val="baseline"/>
                <w:lang w:val="en-US" w:eastAsia="zh-CN"/>
              </w:rPr>
            </w:pPr>
            <w:r>
              <w:rPr>
                <w:rFonts w:hint="eastAsia" w:ascii="宋体" w:hAnsi="宋体" w:eastAsia="宋体" w:cs="宋体"/>
                <w:b/>
                <w:bCs/>
                <w:color w:val="000000"/>
                <w:sz w:val="24"/>
                <w:szCs w:val="24"/>
                <w:lang w:val="en-US" w:eastAsia="zh-CN"/>
              </w:rPr>
              <w:t>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595" w:type="dxa"/>
            <w:noWrap w:val="0"/>
            <w:vAlign w:val="top"/>
          </w:tcPr>
          <w:p>
            <w:pPr>
              <w:rPr>
                <w:color w:val="000000"/>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82" w:firstLineChars="200"/>
              <w:jc w:val="both"/>
              <w:textAlignment w:val="auto"/>
              <w:outlineLvl w:val="9"/>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一、</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政治建设</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 w:cs="宋体"/>
                <w:b/>
                <w:bCs/>
                <w:color w:val="000000"/>
                <w:sz w:val="24"/>
                <w:szCs w:val="24"/>
                <w:lang w:val="en-US" w:eastAsia="zh-CN"/>
              </w:rPr>
            </w:pPr>
            <w:r>
              <w:rPr>
                <w:rFonts w:hint="eastAsia" w:ascii="宋体" w:hAnsi="宋体" w:cs="宋体"/>
                <w:b/>
                <w:bCs/>
                <w:color w:val="000000"/>
                <w:sz w:val="24"/>
                <w:szCs w:val="24"/>
                <w:lang w:val="en-US" w:eastAsia="zh-CN"/>
              </w:rPr>
              <w:t>（5</w:t>
            </w:r>
            <w:r>
              <w:rPr>
                <w:rFonts w:hint="eastAsia" w:ascii="宋体" w:hAnsi="宋体" w:eastAsia="宋体" w:cs="宋体"/>
                <w:b/>
                <w:bCs/>
                <w:color w:val="000000"/>
                <w:sz w:val="24"/>
                <w:szCs w:val="24"/>
                <w:lang w:val="en-US" w:eastAsia="zh-CN"/>
              </w:rPr>
              <w:t>分</w:t>
            </w:r>
            <w:r>
              <w:rPr>
                <w:rFonts w:hint="eastAsia" w:ascii="宋体" w:hAnsi="宋体" w:cs="宋体"/>
                <w:b/>
                <w:bCs/>
                <w:color w:val="00000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sz w:val="24"/>
                <w:szCs w:val="24"/>
                <w:vertAlign w:val="baseline"/>
                <w:lang w:val="en-US" w:eastAsia="zh-CN"/>
              </w:rPr>
            </w:pPr>
          </w:p>
        </w:tc>
        <w:tc>
          <w:tcPr>
            <w:tcW w:w="799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司法所工作要始终坚持党的绝对领导，坚持把政治建设放在首位，以党建统领司法所整体工作。（3分）</w:t>
            </w:r>
          </w:p>
          <w:p>
            <w:pPr>
              <w:pStyle w:val="2"/>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color w:val="000000"/>
                <w:sz w:val="24"/>
                <w:szCs w:val="24"/>
                <w:lang w:val="en-US" w:eastAsia="zh-CN"/>
              </w:rPr>
              <w:t>司法所实行所长负责制，司法所所长一般应是中共党员。（2分）</w:t>
            </w:r>
          </w:p>
        </w:tc>
        <w:tc>
          <w:tcPr>
            <w:tcW w:w="354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color w:val="000000"/>
                <w:kern w:val="2"/>
                <w:sz w:val="24"/>
                <w:szCs w:val="24"/>
                <w:lang w:val="en-US" w:eastAsia="zh-CN" w:bidi="ar-SA"/>
              </w:rPr>
              <w:t>查看司法所党员参加组织生活记录、党费证。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b/>
                <w:bCs/>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宋体" w:hAnsi="宋体" w:eastAsia="宋体" w:cs="宋体"/>
                <w:b/>
                <w:bCs/>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二、</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机构建设</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b/>
                <w:bCs/>
                <w:color w:val="000000"/>
                <w:sz w:val="24"/>
                <w:szCs w:val="24"/>
                <w:vertAlign w:val="baseline"/>
                <w:lang w:eastAsia="zh-CN"/>
              </w:rPr>
            </w:pPr>
            <w:r>
              <w:rPr>
                <w:rFonts w:hint="eastAsia" w:ascii="宋体" w:hAnsi="宋体" w:cs="宋体"/>
                <w:b/>
                <w:bCs/>
                <w:color w:val="000000"/>
                <w:sz w:val="24"/>
                <w:szCs w:val="24"/>
                <w:lang w:val="en-US" w:eastAsia="zh-CN"/>
              </w:rPr>
              <w:t>（</w:t>
            </w:r>
            <w:r>
              <w:rPr>
                <w:rFonts w:hint="eastAsia" w:ascii="宋体" w:hAnsi="宋体" w:eastAsia="宋体" w:cs="宋体"/>
                <w:b/>
                <w:bCs/>
                <w:color w:val="000000"/>
                <w:sz w:val="24"/>
                <w:szCs w:val="24"/>
                <w:lang w:val="en-US" w:eastAsia="zh-CN"/>
              </w:rPr>
              <w:t>10分</w:t>
            </w:r>
            <w:r>
              <w:rPr>
                <w:rFonts w:hint="eastAsia" w:ascii="宋体" w:hAnsi="宋体" w:cs="宋体"/>
                <w:b/>
                <w:bCs/>
                <w:color w:val="00000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sz w:val="24"/>
                <w:szCs w:val="24"/>
                <w:vertAlign w:val="baseline"/>
                <w:lang w:val="en-US" w:eastAsia="zh-CN"/>
              </w:rPr>
            </w:pPr>
          </w:p>
        </w:tc>
        <w:tc>
          <w:tcPr>
            <w:tcW w:w="799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按照“一乡镇（街道）一司法所”的原则，结合辖区面积、人员规模及工作需要设置司法所。(2分)</w:t>
            </w:r>
          </w:p>
          <w:p>
            <w:pPr>
              <w:pStyle w:val="2"/>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司法所的设立、撤销、合并或者变更规格、名称，由县（市、区）司法局报同级机构编制管理机关审批，并报所属市司法局备案。(2分)</w:t>
            </w:r>
          </w:p>
          <w:p>
            <w:pPr>
              <w:pStyle w:val="2"/>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color w:val="000000"/>
                <w:sz w:val="24"/>
                <w:szCs w:val="24"/>
                <w:lang w:val="en-US" w:eastAsia="zh-CN"/>
              </w:rPr>
              <w:t>司法所名称为“××县(市、区)司法局××（司法所所在地地名）司法所。（2分）</w:t>
            </w:r>
          </w:p>
        </w:tc>
        <w:tc>
          <w:tcPr>
            <w:tcW w:w="354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color w:val="000000"/>
                <w:sz w:val="24"/>
                <w:szCs w:val="24"/>
                <w:lang w:val="en-US" w:eastAsia="zh-CN"/>
              </w:rPr>
              <w:t>查看司法所设立、撤销、合并文件，及向市司法局备案情况。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59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sz w:val="24"/>
                <w:szCs w:val="24"/>
                <w:vertAlign w:val="baseline"/>
                <w:lang w:val="en-US" w:eastAsia="zh-CN"/>
              </w:rPr>
            </w:pPr>
          </w:p>
        </w:tc>
        <w:tc>
          <w:tcPr>
            <w:tcW w:w="799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color w:val="000000"/>
                <w:sz w:val="24"/>
                <w:szCs w:val="24"/>
                <w:lang w:val="en-US" w:eastAsia="zh-CN"/>
              </w:rPr>
              <w:t>司法所是县（市、区）司法局的副科级派出机构，司法所所长是副科级领导干部。（4分）</w:t>
            </w:r>
          </w:p>
        </w:tc>
        <w:tc>
          <w:tcPr>
            <w:tcW w:w="354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color w:val="000000"/>
                <w:sz w:val="24"/>
                <w:szCs w:val="24"/>
                <w:lang w:val="en-US" w:eastAsia="zh-CN"/>
              </w:rPr>
              <w:t>查看司法所长任命文件。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Merge w:val="restar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90" w:rightChars="-43"/>
              <w:jc w:val="center"/>
              <w:textAlignment w:val="auto"/>
              <w:outlineLvl w:val="9"/>
              <w:rPr>
                <w:rFonts w:hint="eastAsia" w:ascii="宋体" w:hAnsi="宋体" w:eastAsia="宋体" w:cs="宋体"/>
                <w:b/>
                <w:bCs/>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90" w:rightChars="-43"/>
              <w:jc w:val="center"/>
              <w:textAlignment w:val="auto"/>
              <w:outlineLvl w:val="9"/>
              <w:rPr>
                <w:rFonts w:hint="eastAsia" w:ascii="宋体" w:hAnsi="宋体" w:eastAsia="宋体" w:cs="宋体"/>
                <w:b/>
                <w:bCs/>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90" w:rightChars="-43"/>
              <w:jc w:val="center"/>
              <w:textAlignment w:val="auto"/>
              <w:outlineLvl w:val="9"/>
              <w:rPr>
                <w:rFonts w:hint="eastAsia" w:ascii="宋体" w:hAnsi="宋体" w:eastAsia="宋体" w:cs="宋体"/>
                <w:b/>
                <w:bCs/>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90" w:rightChars="-43"/>
              <w:jc w:val="center"/>
              <w:textAlignment w:val="auto"/>
              <w:outlineLvl w:val="9"/>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三、</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90" w:rightChars="-43"/>
              <w:jc w:val="center"/>
              <w:textAlignment w:val="auto"/>
              <w:outlineLvl w:val="9"/>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队伍建设</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jc w:val="center"/>
              <w:textAlignment w:val="auto"/>
              <w:outlineLvl w:val="9"/>
              <w:rPr>
                <w:rFonts w:hint="eastAsia"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w:t>
            </w:r>
            <w:r>
              <w:rPr>
                <w:rFonts w:hint="eastAsia" w:ascii="宋体" w:hAnsi="宋体" w:eastAsia="宋体" w:cs="宋体"/>
                <w:b/>
                <w:bCs/>
                <w:color w:val="000000"/>
                <w:sz w:val="24"/>
                <w:szCs w:val="24"/>
                <w:lang w:val="en-US" w:eastAsia="zh-CN"/>
              </w:rPr>
              <w:t>10分</w:t>
            </w:r>
            <w:r>
              <w:rPr>
                <w:rFonts w:hint="eastAsia" w:ascii="宋体" w:hAnsi="宋体" w:cs="宋体"/>
                <w:b/>
                <w:bCs/>
                <w:color w:val="00000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sz w:val="24"/>
                <w:szCs w:val="24"/>
                <w:vertAlign w:val="baseline"/>
                <w:lang w:val="en-US" w:eastAsia="zh-CN"/>
              </w:rPr>
            </w:pPr>
          </w:p>
        </w:tc>
        <w:tc>
          <w:tcPr>
            <w:tcW w:w="799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司法所由3名以上（含3名）在编在岗人员组成。(2分)</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color w:val="000000"/>
                <w:sz w:val="24"/>
                <w:szCs w:val="24"/>
                <w:lang w:val="en-US" w:eastAsia="zh-CN"/>
              </w:rPr>
              <w:t>聘用3名以上（含3名）专职调解员。(2分)</w:t>
            </w:r>
          </w:p>
        </w:tc>
        <w:tc>
          <w:tcPr>
            <w:tcW w:w="35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查看县（区）司法局在编人员花名册，司法所工作人员分配文件和专职调解员聘用、分配文件。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59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sz w:val="24"/>
                <w:szCs w:val="24"/>
                <w:vertAlign w:val="baseline"/>
                <w:lang w:val="en-US" w:eastAsia="zh-CN"/>
              </w:rPr>
            </w:pPr>
          </w:p>
        </w:tc>
        <w:tc>
          <w:tcPr>
            <w:tcW w:w="799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司法所所长应当具有大专以上学历，具备较强的组织协调能力，能够贯彻落实上级工作部署和管理要求。(1分)</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color w:val="000000"/>
                <w:sz w:val="24"/>
                <w:szCs w:val="24"/>
                <w:lang w:val="en-US" w:eastAsia="zh-CN"/>
              </w:rPr>
              <w:t>新招录的司法局公务员应当具有大专以上文化程度，以法律专业为主，必须在司法所锻炼2年以上。(1分)</w:t>
            </w:r>
          </w:p>
        </w:tc>
        <w:tc>
          <w:tcPr>
            <w:tcW w:w="354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auto"/>
                <w:sz w:val="24"/>
                <w:szCs w:val="24"/>
                <w:lang w:val="en-US" w:eastAsia="zh-CN"/>
              </w:rPr>
              <w:t>查看司法所所长、近三年新招录公务员学历及在司法所锻炼工作经历情况。</w:t>
            </w:r>
          </w:p>
        </w:tc>
      </w:tr>
    </w:tbl>
    <w:p>
      <w:pPr>
        <w:pStyle w:val="6"/>
        <w:ind w:left="0" w:leftChars="0" w:firstLine="0" w:firstLineChars="0"/>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lang w:val="en-US" w:eastAsia="zh-CN"/>
        </w:rPr>
        <w:br w:type="page"/>
      </w:r>
    </w:p>
    <w:tbl>
      <w:tblPr>
        <w:tblStyle w:val="8"/>
        <w:tblW w:w="0" w:type="auto"/>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464"/>
        <w:gridCol w:w="7745"/>
        <w:gridCol w:w="3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restart"/>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仿宋_GB2312" w:hAnsi="仿宋_GB2312" w:eastAsia="仿宋_GB2312" w:cs="仿宋_GB2312"/>
                <w:color w:val="000000"/>
                <w:sz w:val="32"/>
                <w:szCs w:val="32"/>
                <w:vertAlign w:val="baseline"/>
                <w:lang w:val="en-US" w:eastAsia="zh-CN"/>
              </w:rPr>
            </w:pPr>
          </w:p>
        </w:tc>
        <w:tc>
          <w:tcPr>
            <w:tcW w:w="8209"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司法所长每年培训不少于15天。（1分）</w:t>
            </w:r>
          </w:p>
          <w:p>
            <w:pPr>
              <w:pStyle w:val="2"/>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24"/>
                <w:szCs w:val="24"/>
                <w:lang w:val="en-US" w:eastAsia="zh-CN"/>
              </w:rPr>
              <w:t>司法助理员、专职调解员、社区矫正协理员每年培训不少于10天。（1分）</w:t>
            </w:r>
          </w:p>
        </w:tc>
        <w:tc>
          <w:tcPr>
            <w:tcW w:w="3532"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outlineLvl w:val="9"/>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kern w:val="2"/>
                <w:sz w:val="24"/>
                <w:szCs w:val="24"/>
                <w:lang w:val="en-US" w:eastAsia="zh-CN" w:bidi="ar-SA"/>
              </w:rPr>
              <w:t>查看培训文件、课程安排、现场图片、培训资料。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仿宋_GB2312" w:hAnsi="仿宋_GB2312" w:eastAsia="仿宋_GB2312" w:cs="仿宋_GB2312"/>
                <w:color w:val="000000"/>
                <w:sz w:val="32"/>
                <w:szCs w:val="32"/>
                <w:vertAlign w:val="baseline"/>
                <w:lang w:val="en-US" w:eastAsia="zh-CN"/>
              </w:rPr>
            </w:pPr>
          </w:p>
        </w:tc>
        <w:tc>
          <w:tcPr>
            <w:tcW w:w="8209"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借调司法所在编在岗工作人员3个月以上的，须由借调单位出具书面借调函，所在司法所签署意见，书面报请所属县（市、区）司法局研究同意，并报上一级司法行政机关备案。(1分)</w:t>
            </w:r>
          </w:p>
          <w:p>
            <w:pPr>
              <w:pStyle w:val="2"/>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24"/>
                <w:szCs w:val="24"/>
                <w:lang w:val="en-US" w:eastAsia="zh-CN"/>
              </w:rPr>
              <w:t>借调不得超过6个月，超过6个月以上的，限期调离。(1分)</w:t>
            </w:r>
            <w:r>
              <w:rPr>
                <w:rFonts w:hint="eastAsia" w:ascii="仿宋_GB2312" w:hAnsi="仿宋_GB2312" w:eastAsia="仿宋_GB2312" w:cs="仿宋_GB2312"/>
                <w:color w:val="000000"/>
                <w:sz w:val="24"/>
                <w:szCs w:val="24"/>
                <w:lang w:val="en-US" w:eastAsia="zh-CN"/>
              </w:rPr>
              <w:tab/>
            </w:r>
          </w:p>
        </w:tc>
        <w:tc>
          <w:tcPr>
            <w:tcW w:w="3532"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outlineLvl w:val="9"/>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kern w:val="2"/>
                <w:sz w:val="24"/>
                <w:szCs w:val="24"/>
                <w:lang w:val="en-US" w:eastAsia="zh-CN" w:bidi="ar-SA"/>
              </w:rPr>
              <w:t>查看借调函、报备文件，提供借调人员姓名、借调起止日期。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90" w:rightChars="-43"/>
              <w:jc w:val="both"/>
              <w:textAlignment w:val="auto"/>
              <w:outlineLvl w:val="9"/>
              <w:rPr>
                <w:rFonts w:hint="eastAsia" w:ascii="宋体" w:hAnsi="宋体" w:eastAsia="宋体" w:cs="宋体"/>
                <w:b/>
                <w:bCs/>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90" w:rightChars="-43"/>
              <w:jc w:val="both"/>
              <w:textAlignment w:val="auto"/>
              <w:outlineLvl w:val="9"/>
              <w:rPr>
                <w:rFonts w:hint="eastAsia" w:ascii="宋体" w:hAnsi="宋体" w:eastAsia="宋体" w:cs="宋体"/>
                <w:b/>
                <w:bCs/>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90" w:rightChars="-43"/>
              <w:jc w:val="both"/>
              <w:textAlignment w:val="auto"/>
              <w:outlineLvl w:val="9"/>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 xml:space="preserve">    四、</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90" w:rightChars="-43"/>
              <w:jc w:val="center"/>
              <w:textAlignment w:val="auto"/>
              <w:outlineLvl w:val="9"/>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业务建设</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90" w:rightChars="-43"/>
              <w:jc w:val="center"/>
              <w:textAlignment w:val="auto"/>
              <w:outlineLvl w:val="9"/>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（60分）</w:t>
            </w:r>
          </w:p>
          <w:p>
            <w:pPr>
              <w:pStyle w:val="6"/>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仿宋_GB2312" w:hAnsi="仿宋_GB2312" w:eastAsia="仿宋_GB2312" w:cs="仿宋_GB2312"/>
                <w:color w:val="000000"/>
                <w:sz w:val="32"/>
                <w:szCs w:val="32"/>
                <w:vertAlign w:val="baseline"/>
                <w:lang w:val="en-US" w:eastAsia="zh-CN"/>
              </w:rPr>
            </w:pPr>
          </w:p>
        </w:tc>
        <w:tc>
          <w:tcPr>
            <w:tcW w:w="464" w:type="dxa"/>
            <w:vMerge w:val="restart"/>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color w:val="000000"/>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 w:cs="宋体"/>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 w:cs="宋体"/>
                <w:color w:val="000000"/>
                <w:sz w:val="24"/>
                <w:szCs w:val="24"/>
                <w:lang w:val="en-US" w:eastAsia="zh-CN"/>
              </w:rPr>
            </w:pPr>
            <w:r>
              <w:rPr>
                <w:rFonts w:hint="eastAsia" w:ascii="仿宋_GB2312" w:hAnsi="仿宋" w:cs="宋体"/>
                <w:color w:val="000000"/>
                <w:sz w:val="24"/>
                <w:szCs w:val="24"/>
                <w:lang w:val="en-US" w:eastAsia="zh-CN"/>
              </w:rPr>
              <w:t>人民调解15分</w:t>
            </w:r>
          </w:p>
          <w:p>
            <w:pPr>
              <w:pStyle w:val="6"/>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color w:val="000000"/>
                <w:lang w:val="en-US" w:eastAsia="zh-CN"/>
              </w:rPr>
            </w:pPr>
          </w:p>
        </w:tc>
        <w:tc>
          <w:tcPr>
            <w:tcW w:w="7745"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outlineLvl w:val="9"/>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kern w:val="2"/>
                <w:sz w:val="24"/>
                <w:szCs w:val="24"/>
                <w:lang w:val="en-US" w:eastAsia="zh-CN" w:bidi="ar-SA"/>
              </w:rPr>
              <w:t>辖区内人民调解组织“四张网”健全。村居(社区)调解组织达到100%，企事业单位调解组织达到80%，行业性、专业性调解组织应建尽建。（2分）</w:t>
            </w:r>
          </w:p>
        </w:tc>
        <w:tc>
          <w:tcPr>
            <w:tcW w:w="3532"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outlineLvl w:val="9"/>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kern w:val="2"/>
                <w:sz w:val="24"/>
                <w:szCs w:val="24"/>
                <w:lang w:val="en-US" w:eastAsia="zh-CN" w:bidi="ar-SA"/>
              </w:rPr>
              <w:t>查看辖区内村居（社区）、企事业单位调解组织花名册及调委会照片。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377" w:type="dxa"/>
            <w:vMerge w:val="continue"/>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仿宋_GB2312" w:hAnsi="仿宋_GB2312" w:eastAsia="仿宋_GB2312" w:cs="仿宋_GB2312"/>
                <w:color w:val="000000"/>
                <w:sz w:val="32"/>
                <w:szCs w:val="32"/>
                <w:vertAlign w:val="baseline"/>
                <w:lang w:val="en-US" w:eastAsia="zh-CN"/>
              </w:rPr>
            </w:pPr>
          </w:p>
        </w:tc>
        <w:tc>
          <w:tcPr>
            <w:tcW w:w="464" w:type="dxa"/>
            <w:vMerge w:val="continue"/>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仿宋_GB2312" w:hAnsi="仿宋_GB2312" w:eastAsia="仿宋_GB2312" w:cs="仿宋_GB2312"/>
                <w:color w:val="000000"/>
                <w:sz w:val="32"/>
                <w:szCs w:val="32"/>
                <w:vertAlign w:val="baseline"/>
                <w:lang w:val="en-US" w:eastAsia="zh-CN"/>
              </w:rPr>
            </w:pPr>
          </w:p>
        </w:tc>
        <w:tc>
          <w:tcPr>
            <w:tcW w:w="774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辖区内矛盾纠纷排查预警全覆盖。（1分）</w:t>
            </w:r>
          </w:p>
          <w:p>
            <w:pPr>
              <w:pStyle w:val="6"/>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outlineLvl w:val="9"/>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民间纠纷调解成功率达到95%以上，调解协议履行率达98%以上。（2分）</w:t>
            </w:r>
          </w:p>
        </w:tc>
        <w:tc>
          <w:tcPr>
            <w:tcW w:w="353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查看矛盾纠纷排查台账，随机抽查案卷，回访当事人及调解员。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1377" w:type="dxa"/>
            <w:vMerge w:val="continue"/>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仿宋_GB2312" w:hAnsi="仿宋_GB2312" w:eastAsia="仿宋_GB2312" w:cs="仿宋_GB2312"/>
                <w:color w:val="000000"/>
                <w:sz w:val="32"/>
                <w:szCs w:val="32"/>
                <w:vertAlign w:val="baseline"/>
                <w:lang w:val="en-US" w:eastAsia="zh-CN"/>
              </w:rPr>
            </w:pPr>
          </w:p>
        </w:tc>
        <w:tc>
          <w:tcPr>
            <w:tcW w:w="464" w:type="dxa"/>
            <w:vMerge w:val="continue"/>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仿宋_GB2312" w:hAnsi="仿宋_GB2312" w:eastAsia="仿宋_GB2312" w:cs="仿宋_GB2312"/>
                <w:color w:val="000000"/>
                <w:sz w:val="32"/>
                <w:szCs w:val="32"/>
                <w:vertAlign w:val="baseline"/>
                <w:lang w:val="en-US" w:eastAsia="zh-CN"/>
              </w:rPr>
            </w:pPr>
          </w:p>
        </w:tc>
        <w:tc>
          <w:tcPr>
            <w:tcW w:w="774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专职人民调解员每月最低1000元生活补助落实到位。（2分）</w:t>
            </w:r>
          </w:p>
          <w:p>
            <w:pPr>
              <w:pStyle w:val="6"/>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outlineLvl w:val="9"/>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kern w:val="2"/>
                <w:sz w:val="24"/>
                <w:szCs w:val="24"/>
                <w:lang w:val="en-US" w:eastAsia="zh-CN" w:bidi="ar-SA"/>
              </w:rPr>
              <w:t>人民调解案件以案定补经费发放到位。(3分)</w:t>
            </w:r>
          </w:p>
        </w:tc>
        <w:tc>
          <w:tcPr>
            <w:tcW w:w="353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提供专职人民调解员花名册及联系方式，查看生活补助发放表，以案定补经费发放表或银行记录，电话或实地回访调解员。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仿宋_GB2312" w:hAnsi="仿宋_GB2312" w:eastAsia="仿宋_GB2312" w:cs="仿宋_GB2312"/>
                <w:color w:val="000000"/>
                <w:sz w:val="32"/>
                <w:szCs w:val="32"/>
                <w:vertAlign w:val="baseline"/>
                <w:lang w:val="en-US" w:eastAsia="zh-CN"/>
              </w:rPr>
            </w:pPr>
          </w:p>
        </w:tc>
        <w:tc>
          <w:tcPr>
            <w:tcW w:w="464" w:type="dxa"/>
            <w:vMerge w:val="continue"/>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仿宋_GB2312" w:hAnsi="仿宋_GB2312" w:eastAsia="仿宋_GB2312" w:cs="仿宋_GB2312"/>
                <w:color w:val="000000"/>
                <w:sz w:val="32"/>
                <w:szCs w:val="32"/>
                <w:vertAlign w:val="baseline"/>
                <w:lang w:val="en-US" w:eastAsia="zh-CN"/>
              </w:rPr>
            </w:pPr>
          </w:p>
        </w:tc>
        <w:tc>
          <w:tcPr>
            <w:tcW w:w="7745"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outlineLvl w:val="9"/>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近三年内未发生因矛盾纠纷调解不当或不及时而导致“民转刑”案件、群体性事件和集体上访事件。（3分）</w:t>
            </w:r>
          </w:p>
        </w:tc>
        <w:tc>
          <w:tcPr>
            <w:tcW w:w="3532"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outlineLvl w:val="9"/>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查看政法委、信访部门出具的相关证明。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77" w:type="dxa"/>
            <w:vMerge w:val="continue"/>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仿宋_GB2312" w:hAnsi="仿宋_GB2312" w:eastAsia="仿宋_GB2312" w:cs="仿宋_GB2312"/>
                <w:color w:val="000000"/>
                <w:sz w:val="32"/>
                <w:szCs w:val="32"/>
                <w:vertAlign w:val="baseline"/>
                <w:lang w:val="en-US" w:eastAsia="zh-CN"/>
              </w:rPr>
            </w:pPr>
          </w:p>
        </w:tc>
        <w:tc>
          <w:tcPr>
            <w:tcW w:w="464" w:type="dxa"/>
            <w:vMerge w:val="continue"/>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仿宋_GB2312" w:hAnsi="仿宋_GB2312" w:eastAsia="仿宋_GB2312" w:cs="仿宋_GB2312"/>
                <w:color w:val="000000"/>
                <w:sz w:val="32"/>
                <w:szCs w:val="32"/>
                <w:vertAlign w:val="baseline"/>
                <w:lang w:val="en-US" w:eastAsia="zh-CN"/>
              </w:rPr>
            </w:pPr>
          </w:p>
        </w:tc>
        <w:tc>
          <w:tcPr>
            <w:tcW w:w="7745"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outlineLvl w:val="9"/>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近三年未出现人民调解协议被人民法院撤销或确认无效。（2分）</w:t>
            </w:r>
          </w:p>
        </w:tc>
        <w:tc>
          <w:tcPr>
            <w:tcW w:w="3532"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outlineLvl w:val="9"/>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查看法院出具的相关证明，询问、回访当事人、抽查案卷。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1377" w:type="dxa"/>
            <w:vMerge w:val="continue"/>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仿宋_GB2312" w:hAnsi="仿宋_GB2312" w:eastAsia="仿宋_GB2312" w:cs="仿宋_GB2312"/>
                <w:color w:val="000000"/>
                <w:sz w:val="32"/>
                <w:szCs w:val="32"/>
                <w:vertAlign w:val="baseline"/>
                <w:lang w:val="en-US" w:eastAsia="zh-CN"/>
              </w:rPr>
            </w:pPr>
          </w:p>
        </w:tc>
        <w:tc>
          <w:tcPr>
            <w:tcW w:w="464"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仿宋_GB2312" w:hAnsi="仿宋_GB2312" w:eastAsia="仿宋_GB2312" w:cs="仿宋_GB2312"/>
                <w:color w:val="000000"/>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 w:cs="宋体"/>
                <w:color w:val="000000"/>
                <w:sz w:val="24"/>
                <w:szCs w:val="24"/>
                <w:lang w:val="en-US" w:eastAsia="zh-CN"/>
              </w:rPr>
            </w:pPr>
            <w:r>
              <w:rPr>
                <w:rFonts w:hint="eastAsia" w:ascii="仿宋_GB2312" w:hAnsi="仿宋" w:cs="宋体"/>
                <w:color w:val="000000"/>
                <w:sz w:val="24"/>
                <w:szCs w:val="24"/>
                <w:lang w:val="en-US" w:eastAsia="zh-CN"/>
              </w:rPr>
              <w:t>公</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color w:val="000000"/>
                <w:lang w:val="en-US" w:eastAsia="zh-CN"/>
              </w:rPr>
            </w:pPr>
            <w:r>
              <w:rPr>
                <w:rFonts w:hint="eastAsia" w:ascii="仿宋_GB2312" w:hAnsi="仿宋" w:cs="宋体"/>
                <w:color w:val="000000"/>
                <w:sz w:val="24"/>
                <w:szCs w:val="24"/>
                <w:lang w:val="en-US" w:eastAsia="zh-CN"/>
              </w:rPr>
              <w:t>共法律服务10分</w:t>
            </w:r>
          </w:p>
        </w:tc>
        <w:tc>
          <w:tcPr>
            <w:tcW w:w="7745"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outlineLvl w:val="9"/>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实现乡镇（街道）公共法律服务工作站，村（社区）公共法律服务工作室全覆盖。（2分）</w:t>
            </w:r>
          </w:p>
          <w:p>
            <w:pPr>
              <w:pStyle w:val="6"/>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outlineLvl w:val="9"/>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乡镇（街道）公共法律服务工作站推行3+X“柜台式”服务工作，设立开放式服务厅，设置接待窗口（柜台）。（1分）</w:t>
            </w:r>
          </w:p>
          <w:p>
            <w:pPr>
              <w:pStyle w:val="6"/>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outlineLvl w:val="9"/>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kern w:val="2"/>
                <w:sz w:val="24"/>
                <w:szCs w:val="24"/>
                <w:lang w:val="en-US" w:eastAsia="zh-CN" w:bidi="ar-SA"/>
              </w:rPr>
              <w:t>配备公共法律服务智能终端设备，保持网络畅通实现与县（区）公共法律服务中心视频咨询。（2分）</w:t>
            </w:r>
          </w:p>
        </w:tc>
        <w:tc>
          <w:tcPr>
            <w:tcW w:w="3532"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outlineLvl w:val="9"/>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kern w:val="2"/>
                <w:sz w:val="24"/>
                <w:szCs w:val="24"/>
                <w:lang w:val="en-US" w:eastAsia="zh-CN" w:bidi="ar-SA"/>
              </w:rPr>
              <w:t>查看乡镇（街道）、村（社区）公共法律服务工作站（室）花名册、室内外建设、设施配备等情况。</w:t>
            </w:r>
          </w:p>
        </w:tc>
      </w:tr>
    </w:tbl>
    <w:p>
      <w:pPr>
        <w:pStyle w:val="6"/>
        <w:ind w:left="0" w:leftChars="0" w:firstLine="0" w:firstLineChars="0"/>
        <w:rPr>
          <w:rFonts w:hint="eastAsia" w:ascii="仿宋_GB2312" w:hAnsi="仿宋_GB2312" w:eastAsia="仿宋_GB2312" w:cs="仿宋_GB2312"/>
          <w:color w:val="000000"/>
          <w:sz w:val="32"/>
          <w:szCs w:val="32"/>
          <w:lang w:val="en-US" w:eastAsia="zh-CN"/>
        </w:rPr>
      </w:pPr>
    </w:p>
    <w:tbl>
      <w:tblPr>
        <w:tblStyle w:val="8"/>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6"/>
        <w:gridCol w:w="477"/>
        <w:gridCol w:w="7787"/>
        <w:gridCol w:w="3491"/>
        <w:gridCol w:w="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Pr>
        <w:tc>
          <w:tcPr>
            <w:tcW w:w="1336"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right="-90" w:rightChars="-43"/>
              <w:jc w:val="both"/>
              <w:textAlignment w:val="auto"/>
              <w:rPr>
                <w:rFonts w:hint="eastAsia" w:ascii="宋体" w:hAnsi="宋体" w:eastAsia="宋体" w:cs="宋体"/>
                <w:b/>
                <w:bCs/>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right="-90" w:rightChars="-43"/>
              <w:jc w:val="both"/>
              <w:textAlignment w:val="auto"/>
              <w:rPr>
                <w:rFonts w:hint="eastAsia" w:ascii="宋体" w:hAnsi="宋体" w:eastAsia="宋体" w:cs="宋体"/>
                <w:b/>
                <w:bCs/>
                <w:color w:val="000000"/>
                <w:sz w:val="24"/>
                <w:szCs w:val="24"/>
                <w:lang w:val="en-US" w:eastAsia="zh-CN"/>
              </w:rPr>
            </w:pPr>
          </w:p>
          <w:p>
            <w:pPr>
              <w:rPr>
                <w:color w:val="000000"/>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right="-90" w:rightChars="-43"/>
              <w:jc w:val="both"/>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 xml:space="preserve">    四、</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right="-90" w:rightChars="-43"/>
              <w:jc w:val="center"/>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业务建设</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right="-90" w:rightChars="-43"/>
              <w:jc w:val="center"/>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（60分）</w:t>
            </w:r>
          </w:p>
          <w:p>
            <w:pPr>
              <w:pStyle w:val="6"/>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eastAsia" w:ascii="仿宋_GB2312" w:hAnsi="仿宋_GB2312" w:eastAsia="仿宋_GB2312" w:cs="仿宋_GB2312"/>
                <w:color w:val="000000"/>
                <w:sz w:val="32"/>
                <w:szCs w:val="32"/>
                <w:vertAlign w:val="baseline"/>
                <w:lang w:val="en-US" w:eastAsia="zh-CN"/>
              </w:rPr>
            </w:pPr>
          </w:p>
        </w:tc>
        <w:tc>
          <w:tcPr>
            <w:tcW w:w="477" w:type="dxa"/>
            <w:vMerge w:val="restart"/>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both"/>
              <w:textAlignment w:val="auto"/>
              <w:outlineLvl w:val="9"/>
              <w:rPr>
                <w:rFonts w:hint="eastAsia" w:ascii="仿宋_GB2312" w:hAnsi="仿宋_GB2312" w:eastAsia="仿宋_GB2312" w:cs="仿宋_GB2312"/>
                <w:color w:val="000000"/>
                <w:kern w:val="2"/>
                <w:sz w:val="24"/>
                <w:szCs w:val="24"/>
                <w:lang w:val="en-US" w:eastAsia="zh-CN" w:bidi="ar-SA"/>
              </w:rPr>
            </w:pPr>
          </w:p>
        </w:tc>
        <w:tc>
          <w:tcPr>
            <w:tcW w:w="7787"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both"/>
              <w:textAlignment w:val="auto"/>
              <w:outlineLvl w:val="9"/>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村（社区）法律服务工作室设置公示栏和便民信箱，对外公布村（社区）法律顾问信息，公布法律服务目录、法律服务操作流程、法律服务监督电话等内容。（1分）</w:t>
            </w:r>
          </w:p>
          <w:p>
            <w:pPr>
              <w:pStyle w:val="6"/>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both"/>
              <w:textAlignment w:val="auto"/>
              <w:outlineLvl w:val="9"/>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服务区域设置县域法律服务导引指示栏、二维码及宣传资料。（1分）</w:t>
            </w:r>
          </w:p>
        </w:tc>
        <w:tc>
          <w:tcPr>
            <w:tcW w:w="3491"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both"/>
              <w:textAlignment w:val="auto"/>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kern w:val="2"/>
                <w:sz w:val="24"/>
                <w:szCs w:val="24"/>
                <w:lang w:val="en-US" w:eastAsia="zh-CN" w:bidi="ar-SA"/>
              </w:rPr>
              <w:t>查看村（居）法律顾问花名册、服务目录、流程、指引等设置情况</w:t>
            </w:r>
            <w:r>
              <w:rPr>
                <w:rFonts w:hint="eastAsia" w:ascii="仿宋_GB2312" w:hAnsi="仿宋" w:cs="宋体"/>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Pr>
        <w:tc>
          <w:tcPr>
            <w:tcW w:w="1336" w:type="dxa"/>
            <w:vMerge w:val="continue"/>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eastAsia" w:ascii="仿宋_GB2312" w:hAnsi="仿宋_GB2312" w:eastAsia="仿宋_GB2312" w:cs="仿宋_GB2312"/>
                <w:color w:val="000000"/>
                <w:sz w:val="32"/>
                <w:szCs w:val="32"/>
                <w:vertAlign w:val="baseline"/>
                <w:lang w:val="en-US" w:eastAsia="zh-CN"/>
              </w:rPr>
            </w:pPr>
          </w:p>
        </w:tc>
        <w:tc>
          <w:tcPr>
            <w:tcW w:w="477" w:type="dxa"/>
            <w:vMerge w:val="continue"/>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eastAsia" w:ascii="仿宋_GB2312" w:hAnsi="仿宋_GB2312" w:eastAsia="仿宋_GB2312" w:cs="仿宋_GB2312"/>
                <w:color w:val="000000"/>
                <w:sz w:val="32"/>
                <w:szCs w:val="32"/>
                <w:vertAlign w:val="baseline"/>
                <w:lang w:val="en-US" w:eastAsia="zh-CN"/>
              </w:rPr>
            </w:pPr>
          </w:p>
        </w:tc>
        <w:tc>
          <w:tcPr>
            <w:tcW w:w="7787"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both"/>
              <w:textAlignment w:val="auto"/>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kern w:val="2"/>
                <w:sz w:val="24"/>
                <w:szCs w:val="24"/>
                <w:lang w:val="en-US" w:eastAsia="zh-CN" w:bidi="ar-SA"/>
              </w:rPr>
              <w:t>将低收入群体、残疾人、农民工、老年人、青少年、单亲困难母亲、留守妇女儿童等特殊群体和军人军属、退役军人及其他优抚对象作为公共法律服务重点对象。（3分）</w:t>
            </w:r>
          </w:p>
        </w:tc>
        <w:tc>
          <w:tcPr>
            <w:tcW w:w="3491"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both"/>
              <w:textAlignment w:val="auto"/>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kern w:val="2"/>
                <w:sz w:val="24"/>
                <w:szCs w:val="24"/>
                <w:lang w:val="en-US" w:eastAsia="zh-CN" w:bidi="ar-SA"/>
              </w:rPr>
              <w:t>查看法律援助案件受理登记表及案卷。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1520" w:hRule="atLeast"/>
        </w:trPr>
        <w:tc>
          <w:tcPr>
            <w:tcW w:w="1336" w:type="dxa"/>
            <w:vMerge w:val="continue"/>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eastAsia" w:ascii="仿宋_GB2312" w:hAnsi="仿宋_GB2312" w:eastAsia="仿宋_GB2312" w:cs="仿宋_GB2312"/>
                <w:color w:val="000000"/>
                <w:sz w:val="32"/>
                <w:szCs w:val="32"/>
                <w:vertAlign w:val="baseline"/>
                <w:lang w:val="en-US" w:eastAsia="zh-CN"/>
              </w:rPr>
            </w:pPr>
          </w:p>
        </w:tc>
        <w:tc>
          <w:tcPr>
            <w:tcW w:w="477"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eastAsia" w:ascii="仿宋_GB2312" w:hAnsi="仿宋_GB2312" w:eastAsia="仿宋_GB2312" w:cs="仿宋_GB2312"/>
                <w:color w:val="000000"/>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 w:cs="宋体"/>
                <w:color w:val="000000"/>
                <w:sz w:val="24"/>
                <w:szCs w:val="24"/>
                <w:lang w:val="en-US" w:eastAsia="zh-CN"/>
              </w:rPr>
            </w:pPr>
            <w:r>
              <w:rPr>
                <w:rFonts w:hint="eastAsia" w:ascii="仿宋_GB2312" w:hAnsi="仿宋" w:cs="宋体"/>
                <w:color w:val="000000"/>
                <w:sz w:val="24"/>
                <w:szCs w:val="24"/>
                <w:lang w:val="en-US" w:eastAsia="zh-CN"/>
              </w:rPr>
              <w:t>社区</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 w:cs="宋体"/>
                <w:color w:val="000000"/>
                <w:sz w:val="24"/>
                <w:szCs w:val="24"/>
                <w:lang w:val="en-US" w:eastAsia="zh-CN"/>
              </w:rPr>
            </w:pPr>
            <w:r>
              <w:rPr>
                <w:rFonts w:hint="eastAsia" w:ascii="仿宋_GB2312" w:hAnsi="仿宋" w:cs="宋体"/>
                <w:color w:val="000000"/>
                <w:sz w:val="24"/>
                <w:szCs w:val="24"/>
                <w:lang w:val="en-US" w:eastAsia="zh-CN"/>
              </w:rPr>
              <w:t>矫正</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color w:val="000000"/>
                <w:lang w:val="en-US" w:eastAsia="zh-CN"/>
              </w:rPr>
            </w:pPr>
            <w:r>
              <w:rPr>
                <w:rFonts w:hint="eastAsia" w:ascii="仿宋_GB2312" w:hAnsi="仿宋" w:cs="宋体"/>
                <w:color w:val="000000"/>
                <w:sz w:val="24"/>
                <w:szCs w:val="24"/>
                <w:lang w:val="en-US" w:eastAsia="zh-CN"/>
              </w:rPr>
              <w:t>10分</w:t>
            </w:r>
          </w:p>
        </w:tc>
        <w:tc>
          <w:tcPr>
            <w:tcW w:w="778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明确一名政法专项编制人员为社区矫正专职工作人员。（1.5分）</w:t>
            </w:r>
          </w:p>
          <w:p>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受社区矫正机构委托组织开展拟适用社区矫正前社会调查评估，出具评估意见。（2分）</w:t>
            </w:r>
          </w:p>
          <w:p>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为每一名社区矫正对象建立社区矫正小组和社区矫正工作档案。（2分）</w:t>
            </w:r>
          </w:p>
          <w:p>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未发生因工作人员履职不到位导致社区矫正对象脱漏管及违反监管规定的情况。（1.5分）</w:t>
            </w:r>
          </w:p>
          <w:p>
            <w:pPr>
              <w:pStyle w:val="6"/>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both"/>
              <w:textAlignment w:val="auto"/>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kern w:val="2"/>
                <w:sz w:val="24"/>
                <w:szCs w:val="24"/>
                <w:lang w:val="en-US" w:eastAsia="zh-CN" w:bidi="ar-SA"/>
              </w:rPr>
              <w:t>辖区内社区矫正对象近三年无再犯罪情况。（3分）</w:t>
            </w:r>
          </w:p>
        </w:tc>
        <w:tc>
          <w:tcPr>
            <w:tcW w:w="3491"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both"/>
              <w:textAlignment w:val="auto"/>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kern w:val="2"/>
                <w:sz w:val="24"/>
                <w:szCs w:val="24"/>
                <w:lang w:val="en-US" w:eastAsia="zh-CN" w:bidi="ar-SA"/>
              </w:rPr>
              <w:t>查看社区矫正日常工作档案，社区矫正对象再犯罪情况由业务处室掌握。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999" w:hRule="atLeast"/>
        </w:trPr>
        <w:tc>
          <w:tcPr>
            <w:tcW w:w="1336" w:type="dxa"/>
            <w:vMerge w:val="continue"/>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eastAsia" w:ascii="仿宋_GB2312" w:hAnsi="仿宋_GB2312" w:eastAsia="仿宋_GB2312" w:cs="仿宋_GB2312"/>
                <w:color w:val="000000"/>
                <w:sz w:val="32"/>
                <w:szCs w:val="32"/>
                <w:vertAlign w:val="baseline"/>
                <w:lang w:val="en-US" w:eastAsia="zh-CN"/>
              </w:rPr>
            </w:pPr>
          </w:p>
        </w:tc>
        <w:tc>
          <w:tcPr>
            <w:tcW w:w="477"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eastAsia" w:ascii="仿宋_GB2312" w:hAnsi="仿宋_GB2312" w:eastAsia="仿宋_GB2312" w:cs="仿宋_GB2312"/>
                <w:color w:val="000000"/>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 w:cs="宋体"/>
                <w:color w:val="000000"/>
                <w:sz w:val="24"/>
                <w:szCs w:val="24"/>
                <w:lang w:val="en-US" w:eastAsia="zh-CN"/>
              </w:rPr>
            </w:pPr>
            <w:r>
              <w:rPr>
                <w:rFonts w:hint="eastAsia" w:ascii="仿宋_GB2312" w:hAnsi="仿宋" w:cs="宋体"/>
                <w:color w:val="000000"/>
                <w:sz w:val="24"/>
                <w:szCs w:val="24"/>
                <w:lang w:val="en-US" w:eastAsia="zh-CN"/>
              </w:rPr>
              <w:t>安置</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 w:cs="宋体"/>
                <w:color w:val="000000"/>
                <w:sz w:val="24"/>
                <w:szCs w:val="24"/>
                <w:lang w:val="en-US" w:eastAsia="zh-CN"/>
              </w:rPr>
            </w:pPr>
            <w:r>
              <w:rPr>
                <w:rFonts w:hint="eastAsia" w:ascii="仿宋_GB2312" w:hAnsi="仿宋" w:cs="宋体"/>
                <w:color w:val="000000"/>
                <w:sz w:val="24"/>
                <w:szCs w:val="24"/>
                <w:lang w:val="en-US" w:eastAsia="zh-CN"/>
              </w:rPr>
              <w:t>帮教</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color w:val="000000"/>
                <w:lang w:val="en-US" w:eastAsia="zh-CN"/>
              </w:rPr>
            </w:pPr>
            <w:r>
              <w:rPr>
                <w:rFonts w:hint="eastAsia" w:ascii="仿宋_GB2312" w:hAnsi="仿宋" w:cs="宋体"/>
                <w:color w:val="000000"/>
                <w:sz w:val="24"/>
                <w:szCs w:val="24"/>
                <w:lang w:val="en-US" w:eastAsia="zh-CN"/>
              </w:rPr>
              <w:t>10分</w:t>
            </w:r>
          </w:p>
        </w:tc>
        <w:tc>
          <w:tcPr>
            <w:tcW w:w="778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刑满释放人员底数清楚，为每名刑满释放人员建立安置帮教工作档案，指导建立帮教小组。（2分）</w:t>
            </w:r>
          </w:p>
          <w:p>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重点和一般帮教对象衔接率分别达到100%和95%以上。（3分）</w:t>
            </w:r>
          </w:p>
          <w:p>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已衔接人员帮教率达到98%，安置率达到95%以上。（2分）。</w:t>
            </w:r>
          </w:p>
          <w:p>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kern w:val="2"/>
                <w:sz w:val="24"/>
                <w:szCs w:val="24"/>
                <w:lang w:val="en-US" w:eastAsia="zh-CN" w:bidi="ar-SA"/>
              </w:rPr>
              <w:t>协调有关部门积极开展刑满释放人员帮扶工作，解决刑满释放人员实际困难。（3分）</w:t>
            </w:r>
          </w:p>
        </w:tc>
        <w:tc>
          <w:tcPr>
            <w:tcW w:w="3491"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both"/>
              <w:textAlignment w:val="auto"/>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kern w:val="2"/>
                <w:sz w:val="24"/>
                <w:szCs w:val="24"/>
                <w:lang w:val="en-US" w:eastAsia="zh-CN" w:bidi="ar-SA"/>
              </w:rPr>
              <w:t>查看刑满释放人员花名册，实地查看安置帮教工作档案，电话回访刑满释放人员帮教、安置情况。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1069" w:hRule="atLeast"/>
        </w:trPr>
        <w:tc>
          <w:tcPr>
            <w:tcW w:w="1336" w:type="dxa"/>
            <w:vMerge w:val="continue"/>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eastAsia" w:ascii="仿宋_GB2312" w:hAnsi="仿宋_GB2312" w:eastAsia="仿宋_GB2312" w:cs="仿宋_GB2312"/>
                <w:color w:val="000000"/>
                <w:sz w:val="32"/>
                <w:szCs w:val="32"/>
                <w:vertAlign w:val="baseline"/>
                <w:lang w:val="en-US" w:eastAsia="zh-CN"/>
              </w:rPr>
            </w:pPr>
          </w:p>
        </w:tc>
        <w:tc>
          <w:tcPr>
            <w:tcW w:w="47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 w:cs="宋体"/>
                <w:color w:val="000000"/>
                <w:sz w:val="24"/>
                <w:szCs w:val="24"/>
                <w:lang w:val="en-US" w:eastAsia="zh-CN"/>
              </w:rPr>
            </w:pPr>
            <w:r>
              <w:rPr>
                <w:rFonts w:hint="eastAsia" w:ascii="仿宋_GB2312" w:hAnsi="仿宋" w:cs="宋体"/>
                <w:color w:val="000000"/>
                <w:sz w:val="24"/>
                <w:szCs w:val="24"/>
                <w:lang w:val="en-US" w:eastAsia="zh-CN"/>
              </w:rPr>
              <w:t>普法</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 w:cs="宋体"/>
                <w:color w:val="000000"/>
                <w:sz w:val="24"/>
                <w:szCs w:val="24"/>
                <w:lang w:val="en-US" w:eastAsia="zh-CN"/>
              </w:rPr>
            </w:pPr>
            <w:r>
              <w:rPr>
                <w:rFonts w:hint="eastAsia" w:ascii="仿宋_GB2312" w:hAnsi="仿宋" w:cs="宋体"/>
                <w:color w:val="000000"/>
                <w:sz w:val="24"/>
                <w:szCs w:val="24"/>
                <w:lang w:val="en-US" w:eastAsia="zh-CN"/>
              </w:rPr>
              <w:t>依法</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 w:cs="宋体"/>
                <w:color w:val="000000"/>
                <w:sz w:val="24"/>
                <w:szCs w:val="24"/>
                <w:lang w:val="en-US" w:eastAsia="zh-CN"/>
              </w:rPr>
            </w:pPr>
            <w:r>
              <w:rPr>
                <w:rFonts w:hint="eastAsia" w:ascii="仿宋_GB2312" w:hAnsi="仿宋" w:cs="宋体"/>
                <w:color w:val="000000"/>
                <w:sz w:val="24"/>
                <w:szCs w:val="24"/>
                <w:lang w:val="en-US" w:eastAsia="zh-CN"/>
              </w:rPr>
              <w:t>治理</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color w:val="000000"/>
                <w:lang w:val="en-US" w:eastAsia="zh-CN"/>
              </w:rPr>
            </w:pPr>
            <w:r>
              <w:rPr>
                <w:rFonts w:hint="eastAsia" w:ascii="仿宋_GB2312" w:hAnsi="仿宋" w:cs="宋体"/>
                <w:color w:val="000000"/>
                <w:sz w:val="24"/>
                <w:szCs w:val="24"/>
                <w:lang w:val="en-US" w:eastAsia="zh-CN"/>
              </w:rPr>
              <w:t>15分</w:t>
            </w:r>
          </w:p>
        </w:tc>
        <w:tc>
          <w:tcPr>
            <w:tcW w:w="7787"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both"/>
              <w:textAlignment w:val="auto"/>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kern w:val="2"/>
                <w:sz w:val="24"/>
                <w:szCs w:val="24"/>
                <w:lang w:val="en-US" w:eastAsia="zh-CN" w:bidi="ar-SA"/>
              </w:rPr>
              <w:t>深入开展以宪法为核心的法治宣传活动，在重要节日和时间节点，针对本地群众关心的热点、难点法律问题，开展法治宣传日、宣传周、宣传月等集中法治宣传公共服务活动，每年不少于6次。（3分）</w:t>
            </w:r>
          </w:p>
        </w:tc>
        <w:tc>
          <w:tcPr>
            <w:tcW w:w="349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查看活动开展图片、音视频以及其它资料等情况。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1019" w:hRule="atLeast"/>
        </w:trPr>
        <w:tc>
          <w:tcPr>
            <w:tcW w:w="1336" w:type="dxa"/>
            <w:vMerge w:val="continue"/>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eastAsia" w:ascii="仿宋_GB2312" w:hAnsi="仿宋_GB2312" w:eastAsia="仿宋_GB2312" w:cs="仿宋_GB2312"/>
                <w:color w:val="000000"/>
                <w:sz w:val="32"/>
                <w:szCs w:val="32"/>
                <w:vertAlign w:val="baseline"/>
                <w:lang w:val="en-US" w:eastAsia="zh-CN"/>
              </w:rPr>
            </w:pPr>
          </w:p>
        </w:tc>
        <w:tc>
          <w:tcPr>
            <w:tcW w:w="4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356" w:firstLineChars="0"/>
              <w:jc w:val="both"/>
              <w:textAlignment w:val="auto"/>
              <w:rPr>
                <w:rFonts w:hint="eastAsia" w:ascii="仿宋_GB2312" w:hAnsi="仿宋" w:cs="宋体"/>
                <w:color w:val="000000"/>
                <w:sz w:val="24"/>
                <w:szCs w:val="24"/>
                <w:lang w:val="en-US" w:eastAsia="zh-CN"/>
              </w:rPr>
            </w:pPr>
          </w:p>
        </w:tc>
        <w:tc>
          <w:tcPr>
            <w:tcW w:w="778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kern w:val="2"/>
                <w:sz w:val="24"/>
                <w:szCs w:val="24"/>
                <w:lang w:val="en-US" w:eastAsia="zh-CN" w:bidi="ar-SA"/>
              </w:rPr>
              <w:t>为乡镇（街道）依法行政当好参谋，为当地经济社会发展重大决策提供法律意见和法律服务，提高基层治理法治化水平。（5分）</w:t>
            </w:r>
            <w:r>
              <w:rPr>
                <w:rFonts w:hint="eastAsia" w:ascii="仿宋_GB2312" w:hAnsi="仿宋_GB2312" w:eastAsia="仿宋_GB2312" w:cs="仿宋_GB2312"/>
                <w:color w:val="000000"/>
                <w:kern w:val="2"/>
                <w:sz w:val="24"/>
                <w:szCs w:val="24"/>
                <w:lang w:val="en-US" w:eastAsia="zh-CN" w:bidi="ar-SA"/>
              </w:rPr>
              <w:tab/>
            </w:r>
          </w:p>
        </w:tc>
        <w:tc>
          <w:tcPr>
            <w:tcW w:w="349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听取乡镇（街道）意见，查看相关工作记录台账。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仿宋_GB2312" w:hAnsi="仿宋_GB2312" w:eastAsia="仿宋_GB2312" w:cs="仿宋_GB2312"/>
                <w:color w:val="000000"/>
                <w:sz w:val="32"/>
                <w:szCs w:val="32"/>
                <w:vertAlign w:val="baseline"/>
                <w:lang w:val="en-US" w:eastAsia="zh-CN"/>
              </w:rPr>
            </w:pPr>
          </w:p>
        </w:tc>
        <w:tc>
          <w:tcPr>
            <w:tcW w:w="477" w:type="dxa"/>
            <w:vMerge w:val="continue"/>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仿宋_GB2312" w:hAnsi="仿宋_GB2312" w:eastAsia="仿宋_GB2312" w:cs="仿宋_GB2312"/>
                <w:color w:val="000000"/>
                <w:sz w:val="32"/>
                <w:szCs w:val="32"/>
                <w:vertAlign w:val="baseline"/>
                <w:lang w:val="en-US" w:eastAsia="zh-CN"/>
              </w:rPr>
            </w:pPr>
          </w:p>
        </w:tc>
        <w:tc>
          <w:tcPr>
            <w:tcW w:w="778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每个村（居）培育不少于3名“法律明白人”骨干。（3分）</w:t>
            </w:r>
          </w:p>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辖区内有1个县级民主法治示范村（社区）。（2分）</w:t>
            </w:r>
          </w:p>
          <w:p>
            <w:pPr>
              <w:pStyle w:val="6"/>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outlineLvl w:val="9"/>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kern w:val="2"/>
                <w:sz w:val="24"/>
                <w:szCs w:val="24"/>
                <w:lang w:val="en-US" w:eastAsia="zh-CN" w:bidi="ar-SA"/>
              </w:rPr>
              <w:t>法治文化阵地设施完好、内容定期更新，开展法治文艺节目或作品创作，组织群众性法治文化演出。（2分）</w:t>
            </w:r>
          </w:p>
        </w:tc>
        <w:tc>
          <w:tcPr>
            <w:tcW w:w="3509" w:type="dxa"/>
            <w:gridSpan w:val="2"/>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outlineLvl w:val="9"/>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kern w:val="2"/>
                <w:sz w:val="24"/>
                <w:szCs w:val="24"/>
                <w:lang w:val="en-US" w:eastAsia="zh-CN" w:bidi="ar-SA"/>
              </w:rPr>
              <w:t>查看“法律明白人”，民主法治示范村创建资料，法治文化阵地位置及现场图片，法治文艺作品等。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8" w:type="dxa"/>
          <w:trHeight w:val="767" w:hRule="atLeast"/>
        </w:trPr>
        <w:tc>
          <w:tcPr>
            <w:tcW w:w="1336"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90" w:rightChars="-43"/>
              <w:jc w:val="center"/>
              <w:textAlignment w:val="auto"/>
              <w:outlineLvl w:val="9"/>
              <w:rPr>
                <w:rFonts w:hint="eastAsia" w:ascii="宋体" w:hAnsi="宋体" w:eastAsia="宋体" w:cs="宋体"/>
                <w:b/>
                <w:bCs/>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90" w:rightChars="-43"/>
              <w:jc w:val="center"/>
              <w:textAlignment w:val="auto"/>
              <w:outlineLvl w:val="9"/>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五</w:t>
            </w:r>
            <w:r>
              <w:rPr>
                <w:rFonts w:hint="eastAsia" w:ascii="宋体" w:hAnsi="宋体" w:cs="宋体"/>
                <w:b/>
                <w:bCs/>
                <w:color w:val="00000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90" w:rightChars="-43"/>
              <w:jc w:val="center"/>
              <w:textAlignment w:val="auto"/>
              <w:outlineLvl w:val="9"/>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所务建设</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90" w:rightChars="-43"/>
              <w:jc w:val="center"/>
              <w:textAlignment w:val="auto"/>
              <w:outlineLvl w:val="9"/>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（5分）</w:t>
            </w:r>
          </w:p>
          <w:p>
            <w:pPr>
              <w:pStyle w:val="6"/>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仿宋_GB2312" w:hAnsi="仿宋_GB2312" w:eastAsia="仿宋_GB2312" w:cs="仿宋_GB2312"/>
                <w:color w:val="000000"/>
                <w:sz w:val="32"/>
                <w:szCs w:val="32"/>
                <w:vertAlign w:val="baseline"/>
                <w:lang w:val="en-US" w:eastAsia="zh-CN"/>
              </w:rPr>
            </w:pPr>
          </w:p>
        </w:tc>
        <w:tc>
          <w:tcPr>
            <w:tcW w:w="8264"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司法所工作职能、工作人员岗位职责、联系方式统一上墙公示。（1分）</w:t>
            </w:r>
          </w:p>
          <w:p>
            <w:pPr>
              <w:pStyle w:val="6"/>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outlineLvl w:val="9"/>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kern w:val="2"/>
                <w:sz w:val="24"/>
                <w:szCs w:val="24"/>
                <w:lang w:val="en-US" w:eastAsia="zh-CN" w:bidi="ar-SA"/>
              </w:rPr>
              <w:t>人民调解、公共法律服务、社区矫正和安置帮教工作制度流程上墙。（2分）</w:t>
            </w:r>
          </w:p>
        </w:tc>
        <w:tc>
          <w:tcPr>
            <w:tcW w:w="3491"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outlineLvl w:val="9"/>
              <w:rPr>
                <w:rFonts w:hint="eastAsia" w:ascii="仿宋_GB2312" w:hAnsi="仿宋_GB2312" w:eastAsia="仿宋_GB2312" w:cs="仿宋_GB2312"/>
                <w:color w:val="C00000"/>
                <w:sz w:val="32"/>
                <w:szCs w:val="32"/>
                <w:vertAlign w:val="baseline"/>
                <w:lang w:val="en-US" w:eastAsia="zh-CN"/>
              </w:rPr>
            </w:pPr>
            <w:r>
              <w:rPr>
                <w:rFonts w:hint="eastAsia" w:ascii="仿宋_GB2312" w:hAnsi="仿宋_GB2312" w:eastAsia="仿宋_GB2312" w:cs="仿宋_GB2312"/>
                <w:color w:val="auto"/>
                <w:kern w:val="2"/>
                <w:sz w:val="24"/>
                <w:szCs w:val="24"/>
                <w:lang w:val="en-US" w:eastAsia="zh-CN" w:bidi="ar-SA"/>
              </w:rPr>
              <w:t>查看相关制度公示情况</w:t>
            </w:r>
            <w:r>
              <w:rPr>
                <w:rFonts w:hint="eastAsia" w:ascii="仿宋_GB2312" w:hAnsi="仿宋" w:cs="宋体"/>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8" w:type="dxa"/>
          <w:trHeight w:val="371" w:hRule="atLeast"/>
        </w:trPr>
        <w:tc>
          <w:tcPr>
            <w:tcW w:w="1336" w:type="dxa"/>
            <w:vMerge w:val="continue"/>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仿宋_GB2312" w:hAnsi="仿宋_GB2312" w:eastAsia="仿宋_GB2312" w:cs="仿宋_GB2312"/>
                <w:color w:val="000000"/>
                <w:sz w:val="32"/>
                <w:szCs w:val="32"/>
                <w:vertAlign w:val="baseline"/>
                <w:lang w:val="en-US" w:eastAsia="zh-CN"/>
              </w:rPr>
            </w:pPr>
          </w:p>
        </w:tc>
        <w:tc>
          <w:tcPr>
            <w:tcW w:w="8264" w:type="dxa"/>
            <w:gridSpan w:val="2"/>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outlineLvl w:val="9"/>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kern w:val="2"/>
                <w:sz w:val="24"/>
                <w:szCs w:val="24"/>
                <w:lang w:val="en-US" w:eastAsia="zh-CN" w:bidi="ar-SA"/>
              </w:rPr>
              <w:t>业务工作档案台账设立、管理规范（包括电子档案），按照相关要求立卷、归档、保存、销毁。（2分）</w:t>
            </w:r>
          </w:p>
        </w:tc>
        <w:tc>
          <w:tcPr>
            <w:tcW w:w="3491"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outlineLvl w:val="9"/>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kern w:val="2"/>
                <w:sz w:val="24"/>
                <w:szCs w:val="24"/>
                <w:lang w:val="en-US" w:eastAsia="zh-CN" w:bidi="ar-SA"/>
              </w:rPr>
              <w:t>查看档案卷宗管理情况。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Pr>
        <w:tc>
          <w:tcPr>
            <w:tcW w:w="1336" w:type="dxa"/>
            <w:vMerge w:val="restart"/>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300" w:lineRule="exact"/>
              <w:ind w:left="0" w:leftChars="0" w:firstLine="0" w:firstLineChars="0"/>
              <w:jc w:val="center"/>
              <w:textAlignment w:val="auto"/>
              <w:outlineLvl w:val="9"/>
              <w:rPr>
                <w:rFonts w:hint="eastAsia" w:ascii="宋体" w:hAnsi="宋体" w:eastAsia="宋体" w:cs="宋体"/>
                <w:b/>
                <w:bCs/>
                <w:color w:val="000000"/>
                <w:kern w:val="2"/>
                <w:sz w:val="24"/>
                <w:szCs w:val="24"/>
                <w:lang w:val="en-US" w:eastAsia="zh-CN" w:bidi="ar-SA"/>
              </w:rPr>
            </w:pPr>
            <w:r>
              <w:rPr>
                <w:rFonts w:hint="eastAsia" w:ascii="宋体" w:hAnsi="宋体" w:cs="宋体"/>
                <w:b/>
                <w:bCs/>
                <w:color w:val="000000"/>
                <w:kern w:val="2"/>
                <w:sz w:val="24"/>
                <w:szCs w:val="24"/>
                <w:lang w:val="en-US" w:eastAsia="zh-CN" w:bidi="ar-SA"/>
              </w:rPr>
              <w:t>六、</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300" w:lineRule="exact"/>
              <w:ind w:leftChars="0"/>
              <w:jc w:val="center"/>
              <w:textAlignment w:val="auto"/>
              <w:outlineLvl w:val="9"/>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基础建设</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300" w:lineRule="exact"/>
              <w:ind w:leftChars="0"/>
              <w:jc w:val="center"/>
              <w:textAlignment w:val="auto"/>
              <w:outlineLvl w:val="9"/>
              <w:rPr>
                <w:rFonts w:hint="eastAsia" w:ascii="仿宋_GB2312" w:hAnsi="仿宋_GB2312" w:eastAsia="仿宋_GB2312" w:cs="仿宋_GB2312"/>
                <w:color w:val="000000"/>
                <w:sz w:val="32"/>
                <w:szCs w:val="32"/>
                <w:vertAlign w:val="baseline"/>
                <w:lang w:val="en-US" w:eastAsia="zh-CN"/>
              </w:rPr>
            </w:pPr>
            <w:r>
              <w:rPr>
                <w:rFonts w:hint="eastAsia" w:ascii="宋体" w:hAnsi="宋体" w:eastAsia="宋体" w:cs="宋体"/>
                <w:b/>
                <w:bCs/>
                <w:color w:val="000000"/>
                <w:kern w:val="2"/>
                <w:sz w:val="24"/>
                <w:szCs w:val="24"/>
                <w:lang w:val="en-US" w:eastAsia="zh-CN" w:bidi="ar-SA"/>
              </w:rPr>
              <w:t>（</w:t>
            </w:r>
            <w:r>
              <w:rPr>
                <w:rFonts w:hint="eastAsia" w:ascii="宋体" w:hAnsi="宋体" w:cs="宋体"/>
                <w:b/>
                <w:bCs/>
                <w:color w:val="000000"/>
                <w:kern w:val="2"/>
                <w:sz w:val="24"/>
                <w:szCs w:val="24"/>
                <w:lang w:val="en-US" w:eastAsia="zh-CN" w:bidi="ar-SA"/>
              </w:rPr>
              <w:t>10</w:t>
            </w:r>
            <w:r>
              <w:rPr>
                <w:rFonts w:hint="eastAsia" w:ascii="宋体" w:hAnsi="宋体" w:eastAsia="宋体" w:cs="宋体"/>
                <w:b/>
                <w:bCs/>
                <w:color w:val="000000"/>
                <w:kern w:val="2"/>
                <w:sz w:val="24"/>
                <w:szCs w:val="24"/>
                <w:lang w:val="en-US" w:eastAsia="zh-CN" w:bidi="ar-SA"/>
              </w:rPr>
              <w:t>分）</w:t>
            </w:r>
          </w:p>
        </w:tc>
        <w:tc>
          <w:tcPr>
            <w:tcW w:w="8264"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办公业务用房相对独立，布局合理，建筑面积达到120平方米，设置人民调解、公共法律服务、社区矫正、档案等功能室符合相关建设内容及标准（1分）</w:t>
            </w:r>
          </w:p>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按照2019年司法部《司法所外观标识规范》《宁夏公共法律服务实体平台建设实施方案》的要求，制作悬挂司法所和公共法律服务工作站标识标牌，所容所貌整洁大方。（1分）</w:t>
            </w:r>
          </w:p>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司法行政徽、司法所外观标识、标牌制作使用规范。（1分）。</w:t>
            </w:r>
          </w:p>
        </w:tc>
        <w:tc>
          <w:tcPr>
            <w:tcW w:w="349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查看司法所外观、标示标牌、功能设置照片。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Pr>
        <w:tc>
          <w:tcPr>
            <w:tcW w:w="1336" w:type="dxa"/>
            <w:vMerge w:val="continue"/>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仿宋_GB2312" w:hAnsi="仿宋_GB2312" w:eastAsia="仿宋_GB2312" w:cs="仿宋_GB2312"/>
                <w:color w:val="000000"/>
                <w:sz w:val="32"/>
                <w:szCs w:val="32"/>
                <w:vertAlign w:val="baseline"/>
                <w:lang w:val="en-US" w:eastAsia="zh-CN"/>
              </w:rPr>
            </w:pPr>
          </w:p>
        </w:tc>
        <w:tc>
          <w:tcPr>
            <w:tcW w:w="8264"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为社区矫正、安置帮教、行政执法等工作配备执法记录仪、定位管理设备以及必要的执法执勤交通工具。（1分）</w:t>
            </w:r>
          </w:p>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配备满足业务工作开展必要的办公通讯设备，服务群众需要的便民设施。（1分）</w:t>
            </w:r>
          </w:p>
        </w:tc>
        <w:tc>
          <w:tcPr>
            <w:tcW w:w="349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查看相关设备、设施。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Pr>
        <w:tc>
          <w:tcPr>
            <w:tcW w:w="1336" w:type="dxa"/>
            <w:vMerge w:val="continue"/>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仿宋_GB2312" w:hAnsi="仿宋_GB2312" w:eastAsia="仿宋_GB2312" w:cs="仿宋_GB2312"/>
                <w:color w:val="000000"/>
                <w:sz w:val="32"/>
                <w:szCs w:val="32"/>
                <w:vertAlign w:val="baseline"/>
                <w:lang w:val="en-US" w:eastAsia="zh-CN"/>
              </w:rPr>
            </w:pPr>
          </w:p>
        </w:tc>
        <w:tc>
          <w:tcPr>
            <w:tcW w:w="8264"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信息网络联通，司法行政基层工作管理信息平台数据录入、上传及时，运行良好，能正常使用司法行政内网。（2分）</w:t>
            </w:r>
          </w:p>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法律服务实现网上申请、网上办理、网上服务、网上监督，不断提高司法所工作效率和服务水平。（1分）</w:t>
            </w:r>
          </w:p>
        </w:tc>
        <w:tc>
          <w:tcPr>
            <w:tcW w:w="349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查验网络联通、业务工作信息平台使用及法律服务网上办理情况。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8" w:type="dxa"/>
          <w:trHeight w:val="709" w:hRule="atLeast"/>
        </w:trPr>
        <w:tc>
          <w:tcPr>
            <w:tcW w:w="1336" w:type="dxa"/>
            <w:vMerge w:val="continue"/>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仿宋_GB2312" w:hAnsi="仿宋_GB2312" w:eastAsia="仿宋_GB2312" w:cs="仿宋_GB2312"/>
                <w:color w:val="000000"/>
                <w:sz w:val="32"/>
                <w:szCs w:val="32"/>
                <w:vertAlign w:val="baseline"/>
                <w:lang w:val="en-US" w:eastAsia="zh-CN"/>
              </w:rPr>
            </w:pPr>
          </w:p>
        </w:tc>
        <w:tc>
          <w:tcPr>
            <w:tcW w:w="8264" w:type="dxa"/>
            <w:gridSpan w:val="2"/>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outlineLvl w:val="9"/>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司法所的人员经费、公用经费、办案（业务）经费、业务装备经费等，应纳入县（市、区）司法局部门预算，按各项业务工作开展情况足额保障到位。（2分）</w:t>
            </w:r>
          </w:p>
        </w:tc>
        <w:tc>
          <w:tcPr>
            <w:tcW w:w="3491" w:type="dxa"/>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outlineLvl w:val="9"/>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查看近三年经费保障文件。</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2B12D3"/>
    <w:rsid w:val="0A2B1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ascii="Times New Roman" w:hAnsi="Times New Roman" w:eastAsia="宋体" w:cs="Times New Roman"/>
      <w:kern w:val="2"/>
      <w:sz w:val="21"/>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next w:val="1"/>
    <w:uiPriority w:val="0"/>
    <w:pPr>
      <w:ind w:firstLine="200" w:firstLineChars="200"/>
    </w:pPr>
    <w:rPr>
      <w:rFonts w:ascii="Times New Roman" w:hAnsi="Times New Roman" w:eastAsia="宋体" w:cs="Times New Roman"/>
      <w:sz w:val="21"/>
    </w:rPr>
  </w:style>
  <w:style w:type="paragraph" w:styleId="3">
    <w:name w:val="Body Text Indent"/>
    <w:basedOn w:val="1"/>
    <w:uiPriority w:val="0"/>
    <w:pPr>
      <w:spacing w:after="120"/>
      <w:ind w:left="420" w:leftChars="200"/>
    </w:pPr>
    <w:rPr>
      <w:rFonts w:ascii="Times New Roman" w:hAnsi="Times New Roman" w:eastAsia="宋体" w:cs="Times New Roman"/>
      <w:sz w:val="21"/>
      <w:szCs w:val="2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Body Text First Indent 2"/>
    <w:basedOn w:val="3"/>
    <w:uiPriority w:val="0"/>
    <w:pPr>
      <w:ind w:firstLine="420" w:firstLineChars="200"/>
    </w:p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2020-12-09T08:35:00Z</dcterms:created>
  <dc:creator>YingNa</dc:creator>
  <cp:lastModifiedBy>YingNa</cp:lastModifiedBy>
  <dcterms:modified xsi:type="dcterms:W3CDTF">2020-12-09T08:36:02Z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