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2024年元旦、春节期间文化旅游广电领域安全生产和消防安全执法检查工作督导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抽查分组名单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2023年12月28日-2024年2月28日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督导检查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“两节”将至，市文旅广电局在积极营造节日氛围的同时，全力抓好安全生产工作，在文旅行业开展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督导抽查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的基础上，紧盯“九小场所”、“冰雪活动”、“节庆文艺活动”等重点领域，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压实县区属地责任及企业主体责任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落实各项安全防范责任和措施，有效防范和坚决遏制各类安全生产事故的发生，营造安全稳定的节日氛围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三、任务分组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总负责人：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（一）兴庆区督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导抽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组  长：王海军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副组长：保  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、王新春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联络员：李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牵头科室：办公室（机关党委）、文物管理科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成员单位：银川市文物管理处、银川艺术剧院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兴庆区联系人：石  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（二）金凤区督导抽查组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组  长：强朝辉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副组长：吴云龙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联络员：郭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牵头科室：公共非遗科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成员单位：银川市文化艺术馆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金凤区联系人：周  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（三）西夏区督导抽查组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 xml:space="preserve">组  长：朱立红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副组长：杨自强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联络员：陈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牵头科室：法规市场科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成员单位：银川美术馆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西夏区联系人：余全升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（四）永宁县督导抽查组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组  长：徐  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波、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夏  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联络员：高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资源开发科、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文化艺术科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成员单位：银川市艺术研究室、银川市文化艺术中心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永宁县联系人：郑福军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（五）贺兰县督导抽查组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组  长：桂宏才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斌、袁少达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联络员：张枭鹏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广电科教科、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产业发展科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成员单位：银川市图书馆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银川市旅游发展服务中心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贺兰县联系人：马  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（六）灵武市督导抽查组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组  长：王汉宁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 xml:space="preserve">副组长：买玉龙、沈  勇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联络员：沈  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成员单位：银川市文化市场综合执法支队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灵武市联系人：马俊良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</w:rPr>
        <w:t>督导检查内容：负责辖区内公共文化场馆、文博单位、A级景区景点、星级宾馆饭店、等级民宿、乡村旅游示范点、旅行社、文化娱乐场所、艺术类校外培训机构等消防安全、交通安全、燃气安全等大排查大整治。重点检查辖区内艺术类校外培训机构消防安全、校车安全、校舍安全、燃气安全、工作室安全状况，检查娱乐场所消防安全、危险化学品和易燃易爆物品安全状况，检查乡村旅游示范点、等级民宿、旅行社、景点景区交通安全、燃气安全等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四、注意事项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1、检查人员及方式。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各县（市）区文广（文体）旅游局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自查为主，市局行业督导抽查为辅。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元旦、春节期间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对行业所有领域开展拉网式、无死角督导检查。市局主要领导随机抽查各县（市）区行业领域落实安全责任情况，其他各检查组按分组进行专项检查，也可以根据行业重点要求交叉检查；各组组长可以根据分管领域随机调配随行检查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2、检查车辆。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本着提高效率，综合利用的原则，优先使用执法车辆，执法车辆无法满足时，由各组负责自驾前往检查，请各组联络员与执法支队提前做好沟通协调，做到物尽其用；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3、信息报送。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各检查组在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元旦、春节期间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各报送一篇检查简报，有图有数据，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各县（市）区文广（文体）旅游局要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2024年2月28日前（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报送时间若有调整以最新通知要求为准)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：00前将本辖区假日市场情况报送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文化旅游广电局政策法规和市场管理科（联系电话：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6889033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ycwljsck2023@163.com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E1D50"/>
    <w:multiLevelType w:val="singleLevel"/>
    <w:tmpl w:val="6D3E1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WNkYzE1ZTUwYTJhNTY0MjA3Yjg3NzgxMDUxMGEifQ=="/>
  </w:docVars>
  <w:rsids>
    <w:rsidRoot w:val="57A07448"/>
    <w:rsid w:val="01BD7A4F"/>
    <w:rsid w:val="04E6106A"/>
    <w:rsid w:val="06C07699"/>
    <w:rsid w:val="08FD17C0"/>
    <w:rsid w:val="09E71B0D"/>
    <w:rsid w:val="0AEA26EB"/>
    <w:rsid w:val="0BDC6D23"/>
    <w:rsid w:val="0C022BE0"/>
    <w:rsid w:val="0D256CBB"/>
    <w:rsid w:val="0D5079C9"/>
    <w:rsid w:val="0F102CC4"/>
    <w:rsid w:val="0FED7751"/>
    <w:rsid w:val="11716160"/>
    <w:rsid w:val="1332010B"/>
    <w:rsid w:val="13A852AC"/>
    <w:rsid w:val="1468384A"/>
    <w:rsid w:val="19223474"/>
    <w:rsid w:val="19EC2827"/>
    <w:rsid w:val="1A5538D9"/>
    <w:rsid w:val="1BAD5FE6"/>
    <w:rsid w:val="1ED16490"/>
    <w:rsid w:val="21DE5093"/>
    <w:rsid w:val="246851A0"/>
    <w:rsid w:val="26CD1C32"/>
    <w:rsid w:val="27E77AFE"/>
    <w:rsid w:val="29910CF5"/>
    <w:rsid w:val="2B31727F"/>
    <w:rsid w:val="2C2E6CCF"/>
    <w:rsid w:val="2D1A0010"/>
    <w:rsid w:val="2D4976E5"/>
    <w:rsid w:val="2FEC4ED7"/>
    <w:rsid w:val="310B5831"/>
    <w:rsid w:val="32FD73FC"/>
    <w:rsid w:val="343D03F7"/>
    <w:rsid w:val="34D32B0A"/>
    <w:rsid w:val="352670DE"/>
    <w:rsid w:val="35C636EB"/>
    <w:rsid w:val="36B44275"/>
    <w:rsid w:val="3776777C"/>
    <w:rsid w:val="39E57C36"/>
    <w:rsid w:val="3B111C96"/>
    <w:rsid w:val="3BEFE973"/>
    <w:rsid w:val="41710F43"/>
    <w:rsid w:val="44C1472D"/>
    <w:rsid w:val="456A6BA2"/>
    <w:rsid w:val="46BB351B"/>
    <w:rsid w:val="498E0956"/>
    <w:rsid w:val="4A5B33FC"/>
    <w:rsid w:val="4B5C0D0B"/>
    <w:rsid w:val="4BF83972"/>
    <w:rsid w:val="4CBB0E7A"/>
    <w:rsid w:val="4D673998"/>
    <w:rsid w:val="4D770D01"/>
    <w:rsid w:val="50025BF9"/>
    <w:rsid w:val="517174DB"/>
    <w:rsid w:val="520420FD"/>
    <w:rsid w:val="52BB0A0D"/>
    <w:rsid w:val="530F66D9"/>
    <w:rsid w:val="53952370"/>
    <w:rsid w:val="53AF7E46"/>
    <w:rsid w:val="53BC7403"/>
    <w:rsid w:val="543640C4"/>
    <w:rsid w:val="54BC6CBF"/>
    <w:rsid w:val="55DA73FC"/>
    <w:rsid w:val="562C64A9"/>
    <w:rsid w:val="57A07448"/>
    <w:rsid w:val="58E870C3"/>
    <w:rsid w:val="59A321FB"/>
    <w:rsid w:val="5B8779CA"/>
    <w:rsid w:val="5BD612E0"/>
    <w:rsid w:val="5BFE1C28"/>
    <w:rsid w:val="5E3E0745"/>
    <w:rsid w:val="5FDE21DF"/>
    <w:rsid w:val="5FFECEAD"/>
    <w:rsid w:val="64CF20F6"/>
    <w:rsid w:val="64D63485"/>
    <w:rsid w:val="66652D12"/>
    <w:rsid w:val="668FD492"/>
    <w:rsid w:val="6A1DA148"/>
    <w:rsid w:val="6BD3071E"/>
    <w:rsid w:val="6C467142"/>
    <w:rsid w:val="6E8A2F09"/>
    <w:rsid w:val="6EC9104D"/>
    <w:rsid w:val="711E068B"/>
    <w:rsid w:val="738C6E17"/>
    <w:rsid w:val="757968CC"/>
    <w:rsid w:val="79BA2F1D"/>
    <w:rsid w:val="79C773E8"/>
    <w:rsid w:val="7B0E45BD"/>
    <w:rsid w:val="7D114E61"/>
    <w:rsid w:val="7D544A21"/>
    <w:rsid w:val="7E110BB2"/>
    <w:rsid w:val="7E3619B8"/>
    <w:rsid w:val="7E4731DA"/>
    <w:rsid w:val="7EDFDA37"/>
    <w:rsid w:val="7F857B2A"/>
    <w:rsid w:val="7FFF6C06"/>
    <w:rsid w:val="88BEC0CE"/>
    <w:rsid w:val="BFFECE8D"/>
    <w:rsid w:val="CF7A6E19"/>
    <w:rsid w:val="CFDBBAC6"/>
    <w:rsid w:val="CFFEC9F5"/>
    <w:rsid w:val="DBFDD090"/>
    <w:rsid w:val="EB5FD3C9"/>
    <w:rsid w:val="EBCF34E1"/>
    <w:rsid w:val="F69FF8F0"/>
    <w:rsid w:val="F75EF4B7"/>
    <w:rsid w:val="FDB8C22E"/>
    <w:rsid w:val="FE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customStyle="1" w:styleId="11">
    <w:name w:val="正文-公1"/>
    <w:basedOn w:val="12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12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1035</Characters>
  <Lines>0</Lines>
  <Paragraphs>0</Paragraphs>
  <TotalTime>2</TotalTime>
  <ScaleCrop>false</ScaleCrop>
  <LinksUpToDate>false</LinksUpToDate>
  <CharactersWithSpaces>1125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2022-09-27T22:05:00Z</dcterms:created>
  <dc:creator>陈婧</dc:creator>
  <cp:lastModifiedBy>kylin</cp:lastModifiedBy>
  <cp:lastPrinted>2022-10-01T23:16:00Z</cp:lastPrinted>
  <dcterms:modified xsi:type="dcterms:W3CDTF">2024-01-08T17:09:19Z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A295C0C03B7443E4B9D35A55F4A70D75_13</vt:lpwstr>
  </property>
</Properties>
</file>