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银川市粮食和物资储备局</w:t>
      </w:r>
      <w:r>
        <w:rPr>
          <w:rFonts w:hint="eastAsia" w:ascii="方正小标宋_GBK" w:hAnsi="方正小标宋_GBK" w:eastAsia="方正小标宋_GBK" w:cs="方正小标宋_GBK"/>
          <w:sz w:val="44"/>
          <w:szCs w:val="44"/>
          <w:lang w:eastAsia="zh-CN"/>
        </w:rPr>
        <w:t>行政执法事项目录清单</w:t>
      </w:r>
    </w:p>
    <w:tbl>
      <w:tblPr>
        <w:tblStyle w:val="4"/>
        <w:tblW w:w="15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7"/>
        <w:gridCol w:w="1073"/>
        <w:gridCol w:w="1683"/>
        <w:gridCol w:w="3058"/>
        <w:gridCol w:w="7688"/>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82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sz w:val="22"/>
                <w:szCs w:val="22"/>
                <w:highlight w:val="none"/>
                <w:u w:val="none"/>
                <w14:textFill>
                  <w14:solidFill>
                    <w14:schemeClr w14:val="tx1"/>
                  </w14:solidFill>
                </w14:textFill>
              </w:rPr>
            </w:pPr>
            <w:r>
              <w:rPr>
                <w:rFonts w:hint="eastAsia" w:ascii="黑体" w:hAnsi="黑体" w:eastAsia="黑体" w:cs="黑体"/>
                <w:b w:val="0"/>
                <w:bCs/>
                <w:i w:val="0"/>
                <w:color w:val="000000" w:themeColor="text1"/>
                <w:kern w:val="0"/>
                <w:sz w:val="22"/>
                <w:szCs w:val="22"/>
                <w:highlight w:val="none"/>
                <w:u w:val="none"/>
                <w:lang w:val="en-US" w:eastAsia="zh-CN" w:bidi="ar"/>
                <w14:textFill>
                  <w14:solidFill>
                    <w14:schemeClr w14:val="tx1"/>
                  </w14:solidFill>
                </w14:textFill>
              </w:rPr>
              <w:t>序号</w:t>
            </w:r>
          </w:p>
        </w:tc>
        <w:tc>
          <w:tcPr>
            <w:tcW w:w="107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sz w:val="22"/>
                <w:szCs w:val="22"/>
                <w:highlight w:val="none"/>
                <w:u w:val="none"/>
                <w:lang w:eastAsia="zh-CN"/>
                <w14:textFill>
                  <w14:solidFill>
                    <w14:schemeClr w14:val="tx1"/>
                  </w14:solidFill>
                </w14:textFill>
              </w:rPr>
            </w:pPr>
            <w:r>
              <w:rPr>
                <w:rFonts w:hint="eastAsia" w:ascii="黑体" w:hAnsi="黑体" w:eastAsia="黑体" w:cs="黑体"/>
                <w:b w:val="0"/>
                <w:bCs/>
                <w:i w:val="0"/>
                <w:color w:val="000000" w:themeColor="text1"/>
                <w:sz w:val="22"/>
                <w:szCs w:val="22"/>
                <w:highlight w:val="none"/>
                <w:u w:val="none"/>
                <w:lang w:eastAsia="zh-CN"/>
                <w14:textFill>
                  <w14:solidFill>
                    <w14:schemeClr w14:val="tx1"/>
                  </w14:solidFill>
                </w14:textFill>
              </w:rPr>
              <w:t>事项类型</w:t>
            </w:r>
          </w:p>
        </w:tc>
        <w:tc>
          <w:tcPr>
            <w:tcW w:w="168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kern w:val="2"/>
                <w:sz w:val="22"/>
                <w:szCs w:val="22"/>
                <w:highlight w:val="none"/>
                <w:u w:val="none"/>
                <w:lang w:val="en-US" w:eastAsia="zh-CN" w:bidi="ar-SA"/>
                <w14:textFill>
                  <w14:solidFill>
                    <w14:schemeClr w14:val="tx1"/>
                  </w14:solidFill>
                </w14:textFill>
              </w:rPr>
            </w:pPr>
            <w:r>
              <w:rPr>
                <w:rFonts w:hint="eastAsia" w:ascii="黑体" w:hAnsi="黑体" w:eastAsia="黑体" w:cs="黑体"/>
                <w:b w:val="0"/>
                <w:bCs/>
                <w:i w:val="0"/>
                <w:color w:val="000000" w:themeColor="text1"/>
                <w:kern w:val="0"/>
                <w:sz w:val="22"/>
                <w:szCs w:val="22"/>
                <w:highlight w:val="none"/>
                <w:u w:val="none"/>
                <w:lang w:val="en-US" w:eastAsia="zh-CN" w:bidi="ar"/>
                <w14:textFill>
                  <w14:solidFill>
                    <w14:schemeClr w14:val="tx1"/>
                  </w14:solidFill>
                </w14:textFill>
              </w:rPr>
              <w:t>事项名称</w:t>
            </w:r>
          </w:p>
        </w:tc>
        <w:tc>
          <w:tcPr>
            <w:tcW w:w="305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sz w:val="22"/>
                <w:szCs w:val="22"/>
                <w:highlight w:val="none"/>
                <w:u w:val="none"/>
                <w14:textFill>
                  <w14:solidFill>
                    <w14:schemeClr w14:val="tx1"/>
                  </w14:solidFill>
                </w14:textFill>
              </w:rPr>
            </w:pPr>
            <w:r>
              <w:rPr>
                <w:rFonts w:hint="eastAsia" w:ascii="黑体" w:hAnsi="黑体" w:eastAsia="黑体" w:cs="黑体"/>
                <w:b w:val="0"/>
                <w:bCs/>
                <w:i w:val="0"/>
                <w:color w:val="000000" w:themeColor="text1"/>
                <w:kern w:val="0"/>
                <w:sz w:val="22"/>
                <w:szCs w:val="22"/>
                <w:highlight w:val="none"/>
                <w:u w:val="none"/>
                <w:lang w:val="en-US" w:eastAsia="zh-CN" w:bidi="ar"/>
                <w14:textFill>
                  <w14:solidFill>
                    <w14:schemeClr w14:val="tx1"/>
                  </w14:solidFill>
                </w14:textFill>
              </w:rPr>
              <w:t>实施主体</w:t>
            </w:r>
          </w:p>
        </w:tc>
        <w:tc>
          <w:tcPr>
            <w:tcW w:w="76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sz w:val="22"/>
                <w:szCs w:val="22"/>
                <w:highlight w:val="none"/>
                <w:u w:val="none"/>
                <w14:textFill>
                  <w14:solidFill>
                    <w14:schemeClr w14:val="tx1"/>
                  </w14:solidFill>
                </w14:textFill>
              </w:rPr>
            </w:pPr>
            <w:r>
              <w:rPr>
                <w:rFonts w:hint="eastAsia" w:ascii="黑体" w:hAnsi="黑体" w:eastAsia="黑体" w:cs="黑体"/>
                <w:b w:val="0"/>
                <w:bCs/>
                <w:i w:val="0"/>
                <w:color w:val="000000" w:themeColor="text1"/>
                <w:kern w:val="0"/>
                <w:sz w:val="22"/>
                <w:szCs w:val="22"/>
                <w:highlight w:val="none"/>
                <w:u w:val="none"/>
                <w:lang w:val="en-US" w:eastAsia="zh-CN" w:bidi="ar"/>
                <w14:textFill>
                  <w14:solidFill>
                    <w14:schemeClr w14:val="tx1"/>
                  </w14:solidFill>
                </w14:textFill>
              </w:rPr>
              <w:t>执法依据</w:t>
            </w:r>
          </w:p>
        </w:tc>
        <w:tc>
          <w:tcPr>
            <w:tcW w:w="75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i w:val="0"/>
                <w:color w:val="000000" w:themeColor="text1"/>
                <w:sz w:val="22"/>
                <w:szCs w:val="22"/>
                <w:highlight w:val="none"/>
                <w:u w:val="none"/>
                <w14:textFill>
                  <w14:solidFill>
                    <w14:schemeClr w14:val="tx1"/>
                  </w14:solidFill>
                </w14:textFill>
              </w:rPr>
            </w:pPr>
            <w:r>
              <w:rPr>
                <w:rFonts w:hint="eastAsia" w:ascii="黑体" w:hAnsi="黑体" w:eastAsia="黑体" w:cs="黑体"/>
                <w:b w:val="0"/>
                <w:bCs/>
                <w:i w:val="0"/>
                <w:color w:val="000000" w:themeColor="text1"/>
                <w:kern w:val="0"/>
                <w:sz w:val="22"/>
                <w:szCs w:val="22"/>
                <w:highlight w:val="none"/>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行政处罚</w:t>
            </w:r>
          </w:p>
        </w:tc>
        <w:tc>
          <w:tcPr>
            <w:tcW w:w="16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粮食收购者未执行国家粮食质量标准等行为的处罚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第四十五条　有下列情形之一的，由粮食和储备行政管理部门责令改正，给予警告，可以并处20万元以下罚款；情节严重的，并处20万元以上50万元以下罚款：</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（一）粮食收购者未执行国家粮食质量标准；</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（二）粮食收购者未及时向售粮者支付售粮款；</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（三）粮食收购者违反本条例规定代扣、代缴税、费和其他款项；</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（四）粮食收购者收购粮食，未按照国家有关规定进行质量安全检验，或者对不符合食品安全标准的粮食未作为非食用用途单独储存；</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（五）从事粮食收购、销售、储存、加工的粮食经营者以及饲料、工业用粮企业未建立粮食经营台账，或者未按照规定报送粮食基本数据和有关情况；</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（六）粮食储存企业未按照规定进行粮食销售出库质量安全检验。</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行政处罚</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未按规定使用粮食仓储设施、运输工具的处罚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第四十六条　粮食收购者、粮食储存企业未按照本条例规定使用仓储设施、运输工具的，由粮食和储备行政管理等部门按照职责责令改正，给予警告；被污染的粮食不得非法销售、加工。</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w:t>
            </w:r>
            <w:bookmarkStart w:id="11" w:name="_GoBack"/>
            <w:bookmarkEnd w:id="11"/>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罚</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对虚报储备粮收储数量；通过以陈顶新、以次充好、低收高转、虚假购销、虚假轮换、违规倒卖等方式，套取储备粮价差和财政补贴，骗取信贷资金等行为的处罚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【地方性法规】《宁夏回族自治区地方储备粮管理条例》(2023年修正)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第二十二条</w:t>
            </w:r>
            <w:bookmarkStart w:id="0" w:name="tiao_22_kuan_1"/>
            <w:bookmarkEnd w:id="0"/>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　储备粮承储主体应当遵守国家有关规定，不得有下列行为：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1" w:name="tiao_22_kuan_1_xiang_1"/>
            <w:bookmarkEnd w:id="1"/>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（一）虚报储备粮收储数量；</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2" w:name="tiao_22_kuan_1_xiang_2"/>
            <w:bookmarkEnd w:id="2"/>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（二）通过以陈顶新、以次充好、低收高转、虚假购销、虚假轮换、违规倒卖等方式，套取储备粮价差和财政补贴，骗取信贷资金；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3" w:name="tiao_22_kuan_1_xiang_3"/>
            <w:bookmarkEnd w:id="3"/>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（三）挤占、挪用、克扣财政补贴、信贷资金；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4" w:name="tiao_22_kuan_1_xiang_4"/>
            <w:bookmarkEnd w:id="4"/>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（四）以储备粮为债务作担保或者清偿债务；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5" w:name="tiao_22_kuan_1_xiang_5"/>
            <w:bookmarkEnd w:id="5"/>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（五）利用储备粮进行除政府委托的储备任务以外的其他商业经营；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6" w:name="tiao_22_kuan_1_xiang_6"/>
            <w:bookmarkEnd w:id="6"/>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（六）在储备粮出库时掺杂使假、以次充好、调换标的物，拒不执行出库指令或者阻挠出库；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7" w:name="tiao_22_kuan_1_xiang_7"/>
            <w:bookmarkEnd w:id="7"/>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（七）购买国家限定用途的储备粮，违规倒卖或者不按照规定用途处置；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bookmarkStart w:id="8" w:name="tiao_22_kuan_1_xiang_8"/>
            <w:bookmarkEnd w:id="8"/>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（八）擅自动用储备粮；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bookmarkStart w:id="9" w:name="tiao_22_kuan_1_xiang_9"/>
            <w:bookmarkEnd w:id="9"/>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（九）其他违反国家储备粮管理规定的行为。</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　　第四十五条</w:t>
            </w:r>
            <w:bookmarkStart w:id="10" w:name="tiao_45_kuan_1"/>
            <w:bookmarkEnd w:id="10"/>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　违反本条例第二十二条规定情形之一的，由粮食和储备行政管理部门责令改正，给予警告，没收违法所得，并处五十万元以上二百万元以下罚款；情节严重的，并处二百万元以上五百万元以下罚</w:t>
            </w:r>
            <w:r>
              <w:rPr>
                <w:rFonts w:hint="eastAsia" w:ascii="微软雅黑" w:hAnsi="微软雅黑" w:eastAsia="微软雅黑" w:cs="微软雅黑"/>
                <w:i w:val="0"/>
                <w:iCs w:val="0"/>
                <w:caps w:val="0"/>
                <w:color w:val="000000" w:themeColor="text1"/>
                <w:spacing w:val="0"/>
                <w:sz w:val="22"/>
                <w:szCs w:val="22"/>
                <w:highlight w:val="none"/>
                <w:shd w:val="clear" w:fill="FFFFFF"/>
                <w14:textFill>
                  <w14:solidFill>
                    <w14:schemeClr w14:val="tx1"/>
                  </w14:solidFill>
                </w14:textFill>
              </w:rPr>
              <w:t>款。</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行政处罚</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对粮食收购企业未按照规定备案或提供虚假备案信息的处罚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【行政法规】《粮食流通管理条例》(2021年国务院令第740号修订)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第四十三条　粮食收购企业未按照规定备案或者提供虚假备案信息的，由粮食和储备行政管理部门责令改正，给予警告；拒不改正的，处2万元以上5万元以下罚款。</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行政处罚</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粮食收购者、粮食储存企业将不符合食品安全标准的粮食作为食用用途销售出库的处罚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【行政法规】《粮食流通管理条例》(2021年国务院令第740号修订)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(一)真菌毒素、农药残留、重金属等污染物质以及其他危害人体健康的物质含量超过食品安全标准限量的;</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(二)霉变或者色泽、气味异常的;</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(三)储存期间使用储粮药剂未满安全间隔期的；</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(四)被包装材料、容器、运输工具等污染的；</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(五)其他法律、法规或者国家有关规定明确不得作为食用用途销售的。</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行政处罚</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对政策性粮食经营活动的处罚</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【行政法规】《粮食流通管理条例》(2021年国务院令第740号修订)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第四十九条　从事政策性粮食经营活动，有下列情形之一的，由粮食和储备行政管理部门责令改正，给予警告，没收违法所得，并处50万元以上200万元以下罚款;情节严重的，并处200万元以上500万元以下罚款:</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(一)虚报粮食收储数量;</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(二)通过以陈顶新、以次充好、低收高转、虚假购销、虚假轮换、违规倒卖等方式，套取粮食价差和财政补贴，骗取信贷资金;</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(三)挤占、挪用、克扣财政补贴、信贷资金;</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(四)以政策性粮食为债务作担保或者清偿债务;</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(五)利用政策性粮食进行除政府委托的政策性任务以外的其他商业经营；</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(六)在政策性粮食出库时掺杂使假、以次充好、调换标的物拒不执行出库指令或者阻挠出库;</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(七)购买国家限定用途的政策性粮食，违规倒卖或者不按照规定用途处置;</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(八)擅自动用政策性粮食;</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(九)其他违反国家政策性粮食经营管理规定的行为。</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粮食应急预案启动后，不按照国家要求承担应急任务，不服从国家的统一安排和调度的，依照前款规定予以处罚。</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行政检查</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储备粮（原粮、成品粮和食用油）管理情况监督检查</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【地方性法规】《宁夏回族自治区地方储备粮管理条例》(2023年修正)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t>第三十七条　县级以上人民政府粮食和储备行政管理、财政等部门应当按照各自职责，依法对地方储备粮管理法律、法规和政策落实情况进行监督检查。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t>第三十八条　县级以上人民政府粮食和储备行政管理部门会同市场监督管理部门依法对储备粮价格执行情况进行监督检查。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t>第四十条　任何单位和个人有权对储备粮管理中的违法行为向粮食和储备行政管理等有关部门举报。有关部门接到举报后，应当及时查处；举报事项属于其他部门职责范围的，应当及时移送其他部门处理。</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行政检查</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对粮食经营者从事粮食收购、储存、运输、加工活动和政策性用粮的购销活动，以及执行国家粮食流通统计制度的情况进行监督检查</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第三十八条　粮食和储备行政管理部门依照本条例对粮食经营者从事粮食收购、储存、运输活动和政策性粮食的购销活动，以及执行国家粮食流通统计制度的情况进行监督检查。</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行政强制</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查封、扣押粮食、工具、设备以及有关账簿资料，查封违法活动场所</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【行政法规】《粮食流通管理条例》（2021年国务院令740号修订）</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第三十八条　粮食和储备行政管理部门依照本条例对粮食经营者从事粮食收购、储存、运输活动和政策性粮食的胸销活动，　以及执行国家粮食流通统计制度的情况进行监督检查。</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粮食和储备行政管理部门在监督检查过程中，可以进入粮食经营政管理者经营场所，查阅有关资料、　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27"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54" w:leftChars="0" w:hanging="454" w:firstLineChars="0"/>
              <w:jc w:val="center"/>
              <w:textAlignment w:val="center"/>
              <w:outlineLvl w:val="9"/>
              <w:rPr>
                <w:rFonts w:hint="eastAsia" w:ascii="仿宋_GB2312" w:hAnsi="仿宋_GB2312" w:eastAsia="仿宋_GB2312" w:cs="仿宋_GB2312"/>
                <w:i w:val="0"/>
                <w:color w:val="000000" w:themeColor="text1"/>
                <w:sz w:val="22"/>
                <w:szCs w:val="22"/>
                <w:highlight w:val="none"/>
                <w:u w:val="none"/>
                <w14:textFill>
                  <w14:solidFill>
                    <w14:schemeClr w14:val="tx1"/>
                  </w14:solidFill>
                </w14:textFill>
              </w:rPr>
            </w:pPr>
          </w:p>
        </w:tc>
        <w:tc>
          <w:tcPr>
            <w:tcW w:w="1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行政检查</w:t>
            </w:r>
          </w:p>
        </w:tc>
        <w:tc>
          <w:tcPr>
            <w:tcW w:w="16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国家政策性粮食出库监管</w:t>
            </w:r>
          </w:p>
        </w:tc>
        <w:tc>
          <w:tcPr>
            <w:tcW w:w="30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银川市粮食和物资储备局</w:t>
            </w:r>
          </w:p>
        </w:tc>
        <w:tc>
          <w:tcPr>
            <w:tcW w:w="7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【规范性文件】国家发展改革委国家粮食局《关于印发〈国家政策性粮食出库管理暂行办法〉的通知》(发改经贸〔2012〕1520号)</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第五条　国家粮食行政管理部门负责组织指导地方人民政府粮食行政管理部门对国家政策性粮食出库进行监督检查。县级以上地方人民政府粮食行政管理部门负责对本地区国家政策性粮食出库进行监督检查，依法查处出库中的违法违规行为，督促承储企库履行出库义务，并及时协调处理直属库移交的本地区非直属库出库纠纷。</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【规范性文件】国家发展改革委　国家粮食局　财政部等《关于进一步加强国家政策性粮食出库管理工作的通知》（国粮检〔2016〕12号）</w:t>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highlight w:val="none"/>
                <w:u w:val="none"/>
                <w:lang w:val="en-US" w:eastAsia="zh-CN" w:bidi="ar"/>
                <w14:textFill>
                  <w14:solidFill>
                    <w14:schemeClr w14:val="tx1"/>
                  </w14:solidFill>
                </w14:textFill>
              </w:rPr>
              <w:t>（三）强化监督指导。市、县级粮食行政管理部门要会同中储粮直属库和农发行分支机构切实加强粮食出库管理，建立经常性巡查制度，及时受理投诉、协调纠纷，争取把各类问题解决在初始阶段。</w:t>
            </w:r>
          </w:p>
        </w:tc>
        <w:tc>
          <w:tcPr>
            <w:tcW w:w="7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仿宋_GB2312" w:hAnsi="仿宋_GB2312" w:eastAsia="仿宋_GB2312" w:cs="仿宋_GB2312"/>
                <w:i w:val="0"/>
                <w:color w:val="000000" w:themeColor="text1"/>
                <w:kern w:val="2"/>
                <w:sz w:val="22"/>
                <w:szCs w:val="22"/>
                <w:highlight w:val="none"/>
                <w:u w:val="none"/>
                <w:lang w:val="en-US" w:eastAsia="zh-CN" w:bidi="ar-SA"/>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40" w:lineRule="exact"/>
        <w:jc w:val="both"/>
        <w:rPr>
          <w:rFonts w:hint="eastAsia" w:ascii="方正小标宋简体" w:hAnsi="方正小标宋简体" w:eastAsia="方正小标宋简体" w:cs="方正小标宋简体"/>
          <w:sz w:val="44"/>
          <w:szCs w:val="44"/>
        </w:rPr>
      </w:pPr>
    </w:p>
    <w:sectPr>
      <w:footerReference r:id="rId3" w:type="default"/>
      <w:pgSz w:w="16838" w:h="11906" w:orient="landscape"/>
      <w:pgMar w:top="1134" w:right="850" w:bottom="1134" w:left="850"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imes New Roman" w:hAnsi="Times New Roman" w:cs="Times New Roman"/>
                        <w:sz w:val="24"/>
                        <w:szCs w:val="40"/>
                        <w:lang w:eastAsia="zh-CN"/>
                      </w:rPr>
                      <w:fldChar w:fldCharType="begin"/>
                    </w:r>
                    <w:r>
                      <w:rPr>
                        <w:rFonts w:hint="eastAsia" w:ascii="Times New Roman" w:hAnsi="Times New Roman" w:cs="Times New Roman"/>
                        <w:sz w:val="24"/>
                        <w:szCs w:val="40"/>
                        <w:lang w:eastAsia="zh-CN"/>
                      </w:rPr>
                      <w:instrText xml:space="preserve"> PAGE  \* MERGEFORMAT </w:instrText>
                    </w:r>
                    <w:r>
                      <w:rPr>
                        <w:rFonts w:hint="eastAsia" w:ascii="Times New Roman" w:hAnsi="Times New Roman" w:cs="Times New Roman"/>
                        <w:sz w:val="24"/>
                        <w:szCs w:val="40"/>
                        <w:lang w:eastAsia="zh-CN"/>
                      </w:rPr>
                      <w:fldChar w:fldCharType="separate"/>
                    </w:r>
                    <w:r>
                      <w:rPr>
                        <w:rFonts w:hint="eastAsia" w:ascii="Times New Roman" w:hAnsi="Times New Roman" w:cs="Times New Roman"/>
                        <w:sz w:val="24"/>
                        <w:szCs w:val="40"/>
                        <w:lang w:eastAsia="zh-CN"/>
                      </w:rPr>
                      <w:t>1</w:t>
                    </w:r>
                    <w:r>
                      <w:rPr>
                        <w:rFonts w:hint="eastAsia" w:ascii="Times New Roman" w:hAnsi="Times New Roman" w:cs="Times New Roman"/>
                        <w:sz w:val="24"/>
                        <w:szCs w:val="4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6A11E"/>
    <w:multiLevelType w:val="singleLevel"/>
    <w:tmpl w:val="6426A11E"/>
    <w:lvl w:ilvl="0" w:tentative="0">
      <w:start w:val="1"/>
      <w:numFmt w:val="decimal"/>
      <w:lvlText w:val="  %1"/>
      <w:lvlJc w:val="left"/>
      <w:pPr>
        <w:tabs>
          <w:tab w:val="left" w:pos="39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ZTcxZDM3YTU1ZGI0N2U1ZWM3NGE5Yjc0OWQwYmIifQ=="/>
  </w:docVars>
  <w:rsids>
    <w:rsidRoot w:val="25FE78B8"/>
    <w:rsid w:val="002579EE"/>
    <w:rsid w:val="140C19D8"/>
    <w:rsid w:val="181F4F22"/>
    <w:rsid w:val="18D243FC"/>
    <w:rsid w:val="18F13A32"/>
    <w:rsid w:val="248B126F"/>
    <w:rsid w:val="25FE78B8"/>
    <w:rsid w:val="26B93FFD"/>
    <w:rsid w:val="299C3B06"/>
    <w:rsid w:val="2BC65A4D"/>
    <w:rsid w:val="2CAA1247"/>
    <w:rsid w:val="2D9A5458"/>
    <w:rsid w:val="3533326C"/>
    <w:rsid w:val="38AF4171"/>
    <w:rsid w:val="3BB64712"/>
    <w:rsid w:val="3E9A55C4"/>
    <w:rsid w:val="40202BC2"/>
    <w:rsid w:val="43706C79"/>
    <w:rsid w:val="45E05087"/>
    <w:rsid w:val="47B02954"/>
    <w:rsid w:val="4DAA1A80"/>
    <w:rsid w:val="5BCF8353"/>
    <w:rsid w:val="5F741540"/>
    <w:rsid w:val="631A1780"/>
    <w:rsid w:val="6593581A"/>
    <w:rsid w:val="65FE909E"/>
    <w:rsid w:val="665D20A5"/>
    <w:rsid w:val="687668FF"/>
    <w:rsid w:val="6EBF05AF"/>
    <w:rsid w:val="6EFEE58B"/>
    <w:rsid w:val="726B64DE"/>
    <w:rsid w:val="7E480CD5"/>
    <w:rsid w:val="7F2EE1B4"/>
    <w:rsid w:val="ABFFB98B"/>
    <w:rsid w:val="CB6E12C6"/>
    <w:rsid w:val="ECFC0DAF"/>
    <w:rsid w:val="F6374D44"/>
    <w:rsid w:val="FDFF8C9B"/>
    <w:rsid w:val="FFF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18869</Words>
  <Characters>19518</Characters>
  <Lines>0</Lines>
  <Paragraphs>0</Paragraphs>
  <TotalTime>6</TotalTime>
  <ScaleCrop>false</ScaleCrop>
  <LinksUpToDate>false</LinksUpToDate>
  <CharactersWithSpaces>19628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2022-07-23T20:48:00Z</dcterms:created>
  <dc:creator>Administrator</dc:creator>
  <cp:lastModifiedBy>kylin</cp:lastModifiedBy>
  <dcterms:modified xsi:type="dcterms:W3CDTF">2024-10-31T11:52:17Z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F9483482EC2A1C331329D966829F39CD_43</vt:lpwstr>
  </property>
</Properties>
</file>