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银川市人民防空办公室行政执法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before="0" w:beforeLines="0" w:after="0" w:afterLines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投诉举报受理制度（修订）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第一条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为规范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市人防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系统行政执法投诉举报受理工作，强化对我市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人防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行政执法行为的监督，根据《银川市行政执法投诉举报受理规定》（市政府令2号），结合本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实际，制定本制度.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第二条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任何公民、法人或者社会组织（简称投诉举报人）发现银川市人民防空办公室或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属执法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单位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及其工作人员在行政执法中有下列行为之一的，均可以通过来信、来电、来访等形式依法向本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投诉举报：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（一）超越法定职权实施行政执法行为的；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（二）行政执法行为违反法定程序的；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（三）违法事实认定不准确，处理决定显失公平的；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（四）违法实施行政强制措施的；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（五）行政执法人员在执法过程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中存在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“吃拿卡要”或态度蛮横、不文明执法的；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（六）行政执法行为存在不作为、慢作为的。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投诉举报人对上述情形已申请行政复议、提请行政诉讼的和向纪检、监察机关投诉举报的并且已经受理的，不再依照本制度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受理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投诉举报。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第三条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投诉举报人进行投诉举报内容应符合下列条件：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（一）有明确的投诉举报对象；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（二）有具体的投诉请求和事实依据；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（三）属于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本制度第二条规定的受理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范围；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（四）由本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有关行政执法人员做出的行政行为。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第四条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办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</w:rPr>
        <w:t>综合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  <w:lang w:val="en-US" w:eastAsia="zh-CN"/>
        </w:rPr>
        <w:t>科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  <w:vertAlign w:val="baseline"/>
          <w:lang w:val="en-US" w:eastAsia="zh-CN"/>
        </w:rPr>
        <w:t>统筹安排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  <w:vertAlign w:val="baseline"/>
        </w:rPr>
        <w:t>行政执法投诉举报的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  <w:vertAlign w:val="baseline"/>
          <w:lang w:val="en-US" w:eastAsia="zh-CN"/>
        </w:rPr>
        <w:t>受理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  <w:vertAlign w:val="baseline"/>
        </w:rPr>
        <w:t>工作，并向社会公开受理电话</w:t>
      </w:r>
      <w:r>
        <w:rPr>
          <w:rFonts w:hint="eastAsia" w:ascii="仿宋" w:hAnsi="仿宋" w:eastAsia="仿宋" w:cs="仿宋"/>
          <w:strike w:val="0"/>
          <w:dstrike w:val="0"/>
          <w:color w:val="auto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第五条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行政执法投诉举报受理程序：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（一）受理登记：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办工程科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负责行政执法投诉举报的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登记工作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办工程科接到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投诉举报后，应当填写银川市人民防空办公室行政执法投诉举报受理单。受理单应当记录投诉举报人的姓名、联系方式、投诉举报的内容等基本情况。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（二）转办：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办工程科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受理登记后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转由办综合科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，根据投诉人投诉举报内容，转相关科室办理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（三）审核调查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  <w:lang w:val="en-US" w:eastAsia="zh-CN"/>
        </w:rPr>
        <w:t>相关科室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u w:val="none"/>
        </w:rPr>
        <w:t>接到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行政执法投诉转办单后，应当组织不少于两名工作人员进行调查，并有权向有关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人员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查阅、收集、摘抄、复印、调取案卷及有关材料，了解行政执法情况，并提出调查处理建议；调查处理建议应提交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专题会议或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党组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会议集体研究决定。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（四）处理：经核查确认行政执法行为存在违法或不当的，应当责令执法部门和执法人员自行纠正，并根据情节轻重及具体情况确定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过错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责任人并依据相关规定追究责任；构成犯罪的，移交司法机关依法追究刑事责任。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（五）反馈：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相关科室应当填写调查处理情况答复单，报办综合科审核后，书面回复投诉举报人。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第六条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投诉举报处理答复单中应当载明投诉举报的基本情况、调查过程，认定执法行为违法或不当的，应当将纠正情况一并载明；认定执法行为合法适当的，应当说明调查认定的事实、理由及相关法律依据。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第七条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受理行政执法投诉举报后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应当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30个工作日内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审查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终结，作出处理决定，并将处理结果告知投诉举报人。情况复杂的，经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领导批准，可以适当延长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查期限，但延长期限不得超过20个工作日。延长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调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查期限的要及时告知投诉举报人，并在处理决定中说明延长期限的理由。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第八条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行政执法投诉举报办理终结后，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办综合科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应将投诉材料、办理结果等资料归档。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 xml:space="preserve">第九条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投诉举报件的承办人员应当严守纪律，严禁泄露投诉举报人的姓名、单位、住址等情况。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color w:val="auto"/>
          <w:u w:val="none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  <w:u w:val="none"/>
          <w:shd w:val="clear" w:color="auto" w:fill="FFFFFF"/>
          <w:lang w:val="en-US" w:eastAsia="zh-CN"/>
        </w:rPr>
        <w:t>第十条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本制度自印发之日起施行。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u w:val="none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numberInDash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4980305</wp:posOffset>
              </wp:positionH>
              <wp:positionV relativeFrom="paragraph">
                <wp:posOffset>-269875</wp:posOffset>
              </wp:positionV>
              <wp:extent cx="1283970" cy="5816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97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15pt;margin-top:-21.25pt;height:45.8pt;width:101.1pt;mso-position-horizontal-relative:margin;z-index:251659264;mso-width-relative:page;mso-height-relative:page;" filled="f" stroked="f" coordsize="21600,21600" o:gfxdata="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vY6kZtoAAAAKAQAADwAAAAAAAAABACAAAAAiAAAAZHJzL2Rvd25yZXYueG1sUEsB&#10;AhQAFAAAAAgAh07iQLQ+jtK6AQAAcgMAAA4AAAAAAAAAAQAgAAAAKQEAAGRycy9lMm9Eb2MueG1s&#10;UEsFBgAAAAAGAAYAWQEAAFU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161925</wp:posOffset>
              </wp:positionH>
              <wp:positionV relativeFrom="paragraph">
                <wp:posOffset>-269875</wp:posOffset>
              </wp:positionV>
              <wp:extent cx="1021715" cy="4102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715" cy="41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.75pt;margin-top:-21.25pt;height:32.3pt;width:80.45pt;mso-position-horizontal-relative:margin;z-index:251660288;mso-width-relative:page;mso-height-relative:page;" filled="f" stroked="f" coordsize="21600,21600" o:gfxdata="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TAXUz2AAAAAkBAAAPAAAAAAAAAAEAIAAAACIAAABkcnMvZG93bnJldi54bWxQSwECFAAU&#10;AAAACACHTuJAWimCZ7gBAAByAwAADgAAAAAAAAABACAAAAAnAQAAZHJzL2Uyb0RvYy54bWxQSwUG&#10;AAAAAAYABgBZAQAAU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MjA2ZWY3M2Y5NWM1OTViY2FkODllZWUwMzA1MDQifQ=="/>
  </w:docVars>
  <w:rsids>
    <w:rsidRoot w:val="541F0648"/>
    <w:rsid w:val="541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2023-03-22T06:13:00Z</dcterms:created>
  <dc:creator>茉莉</dc:creator>
  <cp:lastModifiedBy>茉莉</cp:lastModifiedBy>
  <dcterms:modified xsi:type="dcterms:W3CDTF">2023-03-22T06:14:21Z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151952910613473D8762A6BE35B30EC7</vt:lpwstr>
  </property>
</Properties>
</file>