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bookmarkStart w:id="0" w:name="_Toc17154"/>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r>
        <w:rPr>
          <w:rFonts w:hint="eastAsia" w:ascii="方正小标宋_GBK" w:eastAsia="方正小标宋_GBK"/>
          <w:color w:val="000000" w:themeColor="text1"/>
          <w:spacing w:val="-6"/>
          <w:sz w:val="44"/>
          <w:szCs w:val="44"/>
          <w14:textFill>
            <w14:solidFill>
              <w14:schemeClr w14:val="tx1"/>
            </w14:solidFill>
          </w14:textFill>
        </w:rPr>
        <w:t>银川市消防救援事业发展</w:t>
      </w: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r>
        <w:rPr>
          <w:rFonts w:hint="eastAsia" w:ascii="方正小标宋_GBK" w:eastAsia="方正小标宋_GBK"/>
          <w:color w:val="000000" w:themeColor="text1"/>
          <w:spacing w:val="-6"/>
          <w:sz w:val="44"/>
          <w:szCs w:val="44"/>
          <w14:textFill>
            <w14:solidFill>
              <w14:schemeClr w14:val="tx1"/>
            </w14:solidFill>
          </w14:textFill>
        </w:rPr>
        <w:t>第十四个五年规划</w:t>
      </w: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r>
        <w:rPr>
          <w:rFonts w:hint="eastAsia" w:ascii="方正小标宋_GBK" w:eastAsia="方正小标宋_GBK"/>
          <w:color w:val="000000" w:themeColor="text1"/>
          <w:spacing w:val="-6"/>
          <w:sz w:val="44"/>
          <w:szCs w:val="44"/>
          <w14:textFill>
            <w14:solidFill>
              <w14:schemeClr w14:val="tx1"/>
            </w14:solidFill>
          </w14:textFill>
        </w:rPr>
        <w:t>（2021-2025）</w:t>
      </w: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p>
    <w:p>
      <w:pPr>
        <w:spacing w:line="660" w:lineRule="exact"/>
        <w:jc w:val="center"/>
        <w:rPr>
          <w:rFonts w:ascii="方正小标宋_GBK" w:eastAsia="方正小标宋_GBK"/>
          <w:color w:val="000000" w:themeColor="text1"/>
          <w:spacing w:val="-6"/>
          <w:sz w:val="44"/>
          <w:szCs w:val="44"/>
          <w14:textFill>
            <w14:solidFill>
              <w14:schemeClr w14:val="tx1"/>
            </w14:solidFill>
          </w14:textFill>
        </w:rPr>
      </w:pPr>
      <w:r>
        <w:rPr>
          <w:rFonts w:hint="eastAsia" w:ascii="方正小标宋_GBK" w:eastAsia="方正小标宋_GBK"/>
          <w:color w:val="000000" w:themeColor="text1"/>
          <w:spacing w:val="-6"/>
          <w:sz w:val="44"/>
          <w:szCs w:val="44"/>
          <w14:textFill>
            <w14:solidFill>
              <w14:schemeClr w14:val="tx1"/>
            </w14:solidFill>
          </w14:textFill>
        </w:rPr>
        <w:t>202</w:t>
      </w:r>
      <w:r>
        <w:rPr>
          <w:rFonts w:ascii="方正小标宋_GBK" w:eastAsia="方正小标宋_GBK"/>
          <w:color w:val="000000" w:themeColor="text1"/>
          <w:spacing w:val="-6"/>
          <w:sz w:val="44"/>
          <w:szCs w:val="44"/>
          <w14:textFill>
            <w14:solidFill>
              <w14:schemeClr w14:val="tx1"/>
            </w14:solidFill>
          </w14:textFill>
        </w:rPr>
        <w:t>2</w:t>
      </w:r>
      <w:r>
        <w:rPr>
          <w:rFonts w:hint="eastAsia" w:ascii="方正小标宋_GBK" w:eastAsia="方正小标宋_GBK"/>
          <w:color w:val="000000" w:themeColor="text1"/>
          <w:spacing w:val="-6"/>
          <w:sz w:val="44"/>
          <w:szCs w:val="44"/>
          <w14:textFill>
            <w14:solidFill>
              <w14:schemeClr w14:val="tx1"/>
            </w14:solidFill>
          </w14:textFill>
        </w:rPr>
        <w:t>年</w:t>
      </w:r>
      <w:r>
        <w:rPr>
          <w:rFonts w:ascii="方正小标宋_GBK" w:eastAsia="方正小标宋_GBK"/>
          <w:color w:val="000000" w:themeColor="text1"/>
          <w:spacing w:val="-6"/>
          <w:sz w:val="44"/>
          <w:szCs w:val="44"/>
          <w14:textFill>
            <w14:solidFill>
              <w14:schemeClr w14:val="tx1"/>
            </w14:solidFill>
          </w14:textFill>
        </w:rPr>
        <w:t xml:space="preserve"> 1</w:t>
      </w:r>
      <w:r>
        <w:rPr>
          <w:rFonts w:hint="eastAsia" w:ascii="方正小标宋_GBK" w:eastAsia="方正小标宋_GBK"/>
          <w:color w:val="000000" w:themeColor="text1"/>
          <w:spacing w:val="-6"/>
          <w:sz w:val="44"/>
          <w:szCs w:val="44"/>
          <w14:textFill>
            <w14:solidFill>
              <w14:schemeClr w14:val="tx1"/>
            </w14:solidFill>
          </w14:textFill>
        </w:rPr>
        <w:t>月</w:t>
      </w:r>
    </w:p>
    <w:p>
      <w:pPr>
        <w:spacing w:line="540" w:lineRule="exact"/>
        <w:ind w:firstLine="640"/>
        <w:rPr>
          <w:rFonts w:eastAsia="仿宋"/>
          <w:color w:val="000000" w:themeColor="text1"/>
          <w:sz w:val="32"/>
          <w:szCs w:val="32"/>
          <w14:textFill>
            <w14:solidFill>
              <w14:schemeClr w14:val="tx1"/>
            </w14:solidFill>
          </w14:textFill>
        </w:rPr>
      </w:pPr>
    </w:p>
    <w:p>
      <w:pPr>
        <w:spacing w:line="540" w:lineRule="exact"/>
        <w:ind w:firstLine="640"/>
        <w:rPr>
          <w:rFonts w:eastAsia="仿宋"/>
          <w:color w:val="000000" w:themeColor="text1"/>
          <w:sz w:val="32"/>
          <w:szCs w:val="32"/>
          <w14:textFill>
            <w14:solidFill>
              <w14:schemeClr w14:val="tx1"/>
            </w14:solidFill>
          </w14:textFill>
        </w:rPr>
      </w:pPr>
    </w:p>
    <w:p>
      <w:pPr>
        <w:spacing w:line="540" w:lineRule="exact"/>
        <w:ind w:firstLine="640"/>
        <w:rPr>
          <w:rFonts w:eastAsia="仿宋"/>
          <w:color w:val="000000" w:themeColor="text1"/>
          <w:sz w:val="32"/>
          <w:szCs w:val="32"/>
          <w14:textFill>
            <w14:solidFill>
              <w14:schemeClr w14:val="tx1"/>
            </w14:solidFill>
          </w14:textFill>
        </w:rPr>
      </w:pPr>
    </w:p>
    <w:p>
      <w:pPr>
        <w:spacing w:after="312" w:afterLines="100" w:line="540" w:lineRule="exact"/>
        <w:ind w:firstLine="641"/>
        <w:jc w:val="center"/>
        <w:rPr>
          <w:rFonts w:eastAsia="仿宋"/>
          <w:b/>
          <w:bCs/>
          <w:color w:val="000000" w:themeColor="text1"/>
          <w:sz w:val="40"/>
          <w:szCs w:val="40"/>
          <w14:textFill>
            <w14:solidFill>
              <w14:schemeClr w14:val="tx1"/>
            </w14:solidFill>
          </w14:textFill>
        </w:rPr>
        <w:sectPr>
          <w:pgSz w:w="11906" w:h="16838"/>
          <w:pgMar w:top="1701" w:right="1417" w:bottom="1440" w:left="1587" w:header="851" w:footer="992" w:gutter="0"/>
          <w:cols w:space="425" w:num="1"/>
          <w:docGrid w:type="lines" w:linePitch="312" w:charSpace="0"/>
        </w:sectPr>
      </w:pPr>
      <w:bookmarkStart w:id="1" w:name="_Toc23256"/>
      <w:bookmarkStart w:id="2" w:name="_Toc2048"/>
      <w:bookmarkStart w:id="3" w:name="_Toc24008"/>
    </w:p>
    <w:p>
      <w:pPr>
        <w:spacing w:after="312" w:afterLines="100" w:line="540" w:lineRule="exact"/>
        <w:ind w:firstLine="641"/>
        <w:jc w:val="center"/>
        <w:rPr>
          <w:rFonts w:eastAsia="仿宋"/>
          <w:b/>
          <w:bCs/>
          <w:color w:val="000000" w:themeColor="text1"/>
          <w:sz w:val="40"/>
          <w:szCs w:val="40"/>
          <w14:textFill>
            <w14:solidFill>
              <w14:schemeClr w14:val="tx1"/>
            </w14:solidFill>
          </w14:textFill>
        </w:rPr>
      </w:pPr>
      <w:r>
        <w:rPr>
          <w:rFonts w:hint="eastAsia" w:eastAsia="仿宋"/>
          <w:b/>
          <w:bCs/>
          <w:color w:val="000000" w:themeColor="text1"/>
          <w:sz w:val="40"/>
          <w:szCs w:val="40"/>
          <w14:textFill>
            <w14:solidFill>
              <w14:schemeClr w14:val="tx1"/>
            </w14:solidFill>
          </w14:textFill>
        </w:rPr>
        <w:t>前言</w:t>
      </w:r>
      <w:bookmarkEnd w:id="1"/>
      <w:bookmarkEnd w:id="2"/>
      <w:bookmarkEnd w:id="3"/>
    </w:p>
    <w:p>
      <w:pPr>
        <w:spacing w:line="540" w:lineRule="exact"/>
        <w:ind w:firstLine="640"/>
        <w:rPr>
          <w:rFonts w:eastAsia="仿宋"/>
          <w:color w:val="000000" w:themeColor="text1"/>
          <w:sz w:val="32"/>
          <w:szCs w:val="32"/>
          <w14:textFill>
            <w14:solidFill>
              <w14:schemeClr w14:val="tx1"/>
            </w14:solidFill>
          </w14:textFill>
        </w:rPr>
      </w:pPr>
      <w:r>
        <w:rPr>
          <w:rFonts w:hint="eastAsia" w:eastAsia="仿宋"/>
          <w:color w:val="000000" w:themeColor="text1"/>
          <w:sz w:val="32"/>
          <w:szCs w:val="32"/>
          <w14:textFill>
            <w14:solidFill>
              <w14:schemeClr w14:val="tx1"/>
            </w14:solidFill>
          </w14:textFill>
        </w:rPr>
        <w:t>“十四五”时期（2021-2025年），是我国由全面建设小康社会向基本实现社会主义现代化迈进的关键时期，也是全市产业转型调整，实现经济繁荣民族团结环境优美人民富裕的美丽新宁夏的关键阶段。深刻理解和准确把握</w:t>
      </w:r>
      <w:r>
        <w:rPr>
          <w:rFonts w:eastAsia="仿宋"/>
          <w:color w:val="000000" w:themeColor="text1"/>
          <w:sz w:val="32"/>
          <w:szCs w:val="32"/>
          <w14:textFill>
            <w14:solidFill>
              <w14:schemeClr w14:val="tx1"/>
            </w14:solidFill>
          </w14:textFill>
        </w:rPr>
        <w:t>新时期发展的新形势、新任务、新要求，</w:t>
      </w:r>
      <w:r>
        <w:rPr>
          <w:rFonts w:hint="eastAsia" w:eastAsia="仿宋"/>
          <w:color w:val="000000" w:themeColor="text1"/>
          <w:sz w:val="32"/>
          <w:szCs w:val="32"/>
          <w14:textFill>
            <w14:solidFill>
              <w14:schemeClr w14:val="tx1"/>
            </w14:solidFill>
          </w14:textFill>
        </w:rPr>
        <w:t>规划好“十四五”时期消防事业，全面提升公共消防安全服务保障和灭火应急救援水平，对于确保全市消防安全形势平稳，推进全市经济社会持续健康发展具有重要意义。本规划根据《</w:t>
      </w:r>
      <w:r>
        <w:rPr>
          <w:rFonts w:eastAsia="仿宋"/>
          <w:color w:val="000000" w:themeColor="text1"/>
          <w:sz w:val="32"/>
          <w:szCs w:val="32"/>
          <w14:textFill>
            <w14:solidFill>
              <w14:schemeClr w14:val="tx1"/>
            </w14:solidFill>
          </w14:textFill>
        </w:rPr>
        <w:t>中华人民共和国消防法</w:t>
      </w:r>
      <w:r>
        <w:rPr>
          <w:rFonts w:hint="eastAsia" w:eastAsia="仿宋"/>
          <w:color w:val="000000" w:themeColor="text1"/>
          <w:sz w:val="32"/>
          <w:szCs w:val="32"/>
          <w14:textFill>
            <w14:solidFill>
              <w14:schemeClr w14:val="tx1"/>
            </w14:solidFill>
          </w14:textFill>
        </w:rPr>
        <w:t>》</w:t>
      </w:r>
      <w:r>
        <w:rPr>
          <w:rFonts w:eastAsia="仿宋"/>
          <w:color w:val="000000" w:themeColor="text1"/>
          <w:sz w:val="32"/>
          <w:szCs w:val="32"/>
          <w14:textFill>
            <w14:solidFill>
              <w14:schemeClr w14:val="tx1"/>
            </w14:solidFill>
          </w14:textFill>
        </w:rPr>
        <w:t>《</w:t>
      </w:r>
      <w:r>
        <w:rPr>
          <w:rFonts w:hint="eastAsia" w:eastAsia="仿宋"/>
          <w:color w:val="000000" w:themeColor="text1"/>
          <w:sz w:val="32"/>
          <w:szCs w:val="32"/>
          <w14:textFill>
            <w14:solidFill>
              <w14:schemeClr w14:val="tx1"/>
            </w14:solidFill>
          </w14:textFill>
        </w:rPr>
        <w:t>宁夏回族自治区实施&lt;</w:t>
      </w:r>
      <w:r>
        <w:rPr>
          <w:rFonts w:eastAsia="仿宋"/>
          <w:color w:val="000000" w:themeColor="text1"/>
          <w:sz w:val="32"/>
          <w:szCs w:val="32"/>
          <w14:textFill>
            <w14:solidFill>
              <w14:schemeClr w14:val="tx1"/>
            </w14:solidFill>
          </w14:textFill>
        </w:rPr>
        <w:t>中华人民共和国消防法</w:t>
      </w:r>
      <w:r>
        <w:rPr>
          <w:rFonts w:hint="eastAsia" w:eastAsia="仿宋"/>
          <w:color w:val="000000" w:themeColor="text1"/>
          <w:sz w:val="32"/>
          <w:szCs w:val="32"/>
          <w14:textFill>
            <w14:solidFill>
              <w14:schemeClr w14:val="tx1"/>
            </w14:solidFill>
          </w14:textFill>
        </w:rPr>
        <w:t>&gt;办法》等法律法规和《宁夏回族自治区党委、人民政府关于统一规划体系更好发挥自治区发展规划战略导向作用的实施意见》（宁党发〔</w:t>
      </w:r>
      <w:r>
        <w:rPr>
          <w:rFonts w:eastAsia="仿宋"/>
          <w:color w:val="000000" w:themeColor="text1"/>
          <w:sz w:val="32"/>
          <w:szCs w:val="32"/>
          <w14:textFill>
            <w14:solidFill>
              <w14:schemeClr w14:val="tx1"/>
            </w14:solidFill>
          </w14:textFill>
        </w:rPr>
        <w:t>2020</w:t>
      </w:r>
      <w:r>
        <w:rPr>
          <w:rFonts w:hint="eastAsia" w:eastAsia="仿宋"/>
          <w:color w:val="000000" w:themeColor="text1"/>
          <w:sz w:val="32"/>
          <w:szCs w:val="32"/>
          <w14:textFill>
            <w14:solidFill>
              <w14:schemeClr w14:val="tx1"/>
            </w14:solidFill>
          </w14:textFill>
        </w:rPr>
        <w:t>〕</w:t>
      </w:r>
      <w:r>
        <w:rPr>
          <w:rFonts w:eastAsia="仿宋"/>
          <w:color w:val="000000" w:themeColor="text1"/>
          <w:sz w:val="32"/>
          <w:szCs w:val="32"/>
          <w14:textFill>
            <w14:solidFill>
              <w14:schemeClr w14:val="tx1"/>
            </w14:solidFill>
          </w14:textFill>
        </w:rPr>
        <w:t>6</w:t>
      </w:r>
      <w:r>
        <w:rPr>
          <w:rFonts w:hint="eastAsia" w:eastAsia="仿宋"/>
          <w:color w:val="000000" w:themeColor="text1"/>
          <w:sz w:val="32"/>
          <w:szCs w:val="32"/>
          <w14:textFill>
            <w14:solidFill>
              <w14:schemeClr w14:val="tx1"/>
            </w14:solidFill>
          </w14:textFill>
        </w:rPr>
        <w:t>号）《关于印发银川市“十四五”规划编制工作实施方案的通知》（银政办发(</w:t>
      </w:r>
      <w:r>
        <w:rPr>
          <w:rFonts w:eastAsia="仿宋"/>
          <w:color w:val="000000" w:themeColor="text1"/>
          <w:sz w:val="32"/>
          <w:szCs w:val="32"/>
          <w14:textFill>
            <w14:solidFill>
              <w14:schemeClr w14:val="tx1"/>
            </w14:solidFill>
          </w14:textFill>
        </w:rPr>
        <w:t>2020)72</w:t>
      </w:r>
      <w:r>
        <w:rPr>
          <w:rFonts w:hint="eastAsia" w:eastAsia="仿宋"/>
          <w:color w:val="000000" w:themeColor="text1"/>
          <w:sz w:val="32"/>
          <w:szCs w:val="32"/>
          <w14:textFill>
            <w14:solidFill>
              <w14:schemeClr w14:val="tx1"/>
            </w14:solidFill>
          </w14:textFill>
        </w:rPr>
        <w:t>号）等文件制定，主要阐明“十四五”时期我市消防事业发展的总体思路、建设任务和发展路径，是今后5年全市消防事业发展的行动纲领，是我市实现跨越式发展、确保我市全面建成小康社会和各族人民幸福生活提供消防安全服务保障的重要规划，是各级落实消防安全责任、开展消防监督执法和安排政府投资的重要依据。</w:t>
      </w:r>
    </w:p>
    <w:p>
      <w:pPr>
        <w:spacing w:line="540" w:lineRule="exact"/>
        <w:ind w:firstLine="640"/>
        <w:rPr>
          <w:rFonts w:eastAsia="仿宋"/>
          <w:color w:val="000000" w:themeColor="text1"/>
          <w:sz w:val="32"/>
          <w:szCs w:val="32"/>
          <w14:textFill>
            <w14:solidFill>
              <w14:schemeClr w14:val="tx1"/>
            </w14:solidFill>
          </w14:textFill>
        </w:rPr>
      </w:pPr>
      <w:r>
        <w:rPr>
          <w:rFonts w:hint="eastAsia" w:eastAsia="仿宋"/>
          <w:color w:val="000000" w:themeColor="text1"/>
          <w:sz w:val="32"/>
          <w:szCs w:val="32"/>
          <w14:textFill>
            <w14:solidFill>
              <w14:schemeClr w14:val="tx1"/>
            </w14:solidFill>
          </w14:textFill>
        </w:rPr>
        <w:t>本规划的基准年为2020年，实施期限为2021年至2025年。</w:t>
      </w:r>
    </w:p>
    <w:p>
      <w:pPr>
        <w:pStyle w:val="3"/>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sectPr>
          <w:footerReference r:id="rId3" w:type="default"/>
          <w:pgSz w:w="11906" w:h="16838"/>
          <w:pgMar w:top="1701" w:right="1417" w:bottom="1440" w:left="1587" w:header="851" w:footer="992" w:gutter="0"/>
          <w:pgNumType w:start="1"/>
          <w:cols w:space="425" w:num="1"/>
          <w:docGrid w:type="lines" w:linePitch="312" w:charSpace="0"/>
        </w:sectPr>
      </w:pPr>
    </w:p>
    <w:sdt>
      <w:sdtPr>
        <w:rPr>
          <w:rFonts w:ascii="宋体" w:hAnsi="宋体"/>
          <w:b/>
          <w:bCs/>
          <w:color w:val="000000" w:themeColor="text1"/>
          <w:kern w:val="0"/>
          <w:sz w:val="24"/>
          <w:szCs w:val="24"/>
          <w14:textFill>
            <w14:solidFill>
              <w14:schemeClr w14:val="tx1"/>
            </w14:solidFill>
          </w14:textFill>
        </w:rPr>
        <w:id w:val="147473531"/>
        <w15:color w:val="DBDBDB"/>
        <w:docPartObj>
          <w:docPartGallery w:val="Table of Contents"/>
          <w:docPartUnique/>
        </w:docPartObj>
      </w:sdtPr>
      <w:sdtEndPr>
        <w:rPr>
          <w:rFonts w:ascii="宋体" w:hAnsi="宋体"/>
          <w:b/>
          <w:bCs/>
          <w:color w:val="000000" w:themeColor="text1"/>
          <w:kern w:val="0"/>
          <w:sz w:val="21"/>
          <w:szCs w:val="21"/>
          <w14:textFill>
            <w14:solidFill>
              <w14:schemeClr w14:val="tx1"/>
            </w14:solidFill>
          </w14:textFill>
        </w:rPr>
      </w:sdtEndPr>
      <w:sdtContent>
        <w:p>
          <w:pPr>
            <w:spacing w:line="360" w:lineRule="auto"/>
            <w:jc w:val="center"/>
            <w:rPr>
              <w:b/>
              <w:bCs/>
              <w:color w:val="000000" w:themeColor="text1"/>
              <w:sz w:val="32"/>
              <w:szCs w:val="32"/>
              <w14:textFill>
                <w14:solidFill>
                  <w14:schemeClr w14:val="tx1"/>
                </w14:solidFill>
              </w14:textFill>
            </w:rPr>
          </w:pPr>
          <w:r>
            <w:rPr>
              <w:rFonts w:ascii="宋体" w:hAnsi="宋体"/>
              <w:b/>
              <w:bCs/>
              <w:color w:val="000000" w:themeColor="text1"/>
              <w:sz w:val="32"/>
              <w:szCs w:val="32"/>
              <w14:textFill>
                <w14:solidFill>
                  <w14:schemeClr w14:val="tx1"/>
                </w14:solidFill>
              </w14:textFill>
            </w:rPr>
            <w:t>目录</w:t>
          </w:r>
        </w:p>
        <w:p>
          <w:pPr>
            <w:pStyle w:val="11"/>
            <w:tabs>
              <w:tab w:val="right" w:leader="dot" w:pos="8902"/>
            </w:tabs>
          </w:pPr>
          <w:r>
            <w:rPr>
              <w:color w:val="000000" w:themeColor="text1"/>
              <w:sz w:val="22"/>
              <w:szCs w:val="22"/>
              <w14:textFill>
                <w14:solidFill>
                  <w14:schemeClr w14:val="tx1"/>
                </w14:solidFill>
              </w14:textFill>
            </w:rPr>
            <w:fldChar w:fldCharType="begin"/>
          </w:r>
          <w:r>
            <w:rPr>
              <w:color w:val="000000" w:themeColor="text1"/>
              <w:sz w:val="22"/>
              <w:szCs w:val="22"/>
              <w14:textFill>
                <w14:solidFill>
                  <w14:schemeClr w14:val="tx1"/>
                </w14:solidFill>
              </w14:textFill>
            </w:rPr>
            <w:instrText xml:space="preserve">TOC \o "1-2" \h \u </w:instrText>
          </w:r>
          <w:r>
            <w:rPr>
              <w:color w:val="000000" w:themeColor="text1"/>
              <w:sz w:val="22"/>
              <w:szCs w:val="22"/>
              <w14:textFill>
                <w14:solidFill>
                  <w14:schemeClr w14:val="tx1"/>
                </w14:solidFill>
              </w14:textFill>
            </w:rPr>
            <w:fldChar w:fldCharType="separate"/>
          </w:r>
          <w:r>
            <w:fldChar w:fldCharType="begin"/>
          </w:r>
          <w:r>
            <w:instrText xml:space="preserve"> HYPERLINK \l "_Toc14071" </w:instrText>
          </w:r>
          <w:r>
            <w:fldChar w:fldCharType="separate"/>
          </w:r>
          <w:r>
            <w:rPr>
              <w:rFonts w:hint="eastAsia" w:ascii="方正小标宋_GBK" w:hAnsi="Calibri" w:eastAsia="方正小标宋_GBK"/>
              <w:szCs w:val="36"/>
            </w:rPr>
            <w:t>第一章   形势分析</w:t>
          </w:r>
          <w:r>
            <w:tab/>
          </w:r>
          <w:r>
            <w:fldChar w:fldCharType="begin"/>
          </w:r>
          <w:r>
            <w:instrText xml:space="preserve"> PAGEREF _Toc14071 \h </w:instrText>
          </w:r>
          <w:r>
            <w:fldChar w:fldCharType="separate"/>
          </w:r>
          <w:r>
            <w:t>3</w:t>
          </w:r>
          <w:r>
            <w:fldChar w:fldCharType="end"/>
          </w:r>
          <w:r>
            <w:fldChar w:fldCharType="end"/>
          </w:r>
        </w:p>
        <w:p>
          <w:pPr>
            <w:pStyle w:val="12"/>
            <w:tabs>
              <w:tab w:val="right" w:leader="dot" w:pos="8902"/>
            </w:tabs>
          </w:pPr>
          <w:r>
            <w:fldChar w:fldCharType="begin"/>
          </w:r>
          <w:r>
            <w:instrText xml:space="preserve"> HYPERLINK \l "_Toc983" </w:instrText>
          </w:r>
          <w:r>
            <w:fldChar w:fldCharType="separate"/>
          </w:r>
          <w:r>
            <w:t>（一）取得的新进展</w:t>
          </w:r>
          <w:r>
            <w:tab/>
          </w:r>
          <w:r>
            <w:fldChar w:fldCharType="begin"/>
          </w:r>
          <w:r>
            <w:instrText xml:space="preserve"> PAGEREF _Toc983 \h </w:instrText>
          </w:r>
          <w:r>
            <w:fldChar w:fldCharType="separate"/>
          </w:r>
          <w:r>
            <w:t>3</w:t>
          </w:r>
          <w:r>
            <w:fldChar w:fldCharType="end"/>
          </w:r>
          <w:r>
            <w:fldChar w:fldCharType="end"/>
          </w:r>
        </w:p>
        <w:p>
          <w:pPr>
            <w:pStyle w:val="12"/>
            <w:tabs>
              <w:tab w:val="right" w:leader="dot" w:pos="8902"/>
            </w:tabs>
          </w:pPr>
          <w:r>
            <w:fldChar w:fldCharType="begin"/>
          </w:r>
          <w:r>
            <w:instrText xml:space="preserve"> HYPERLINK \l "_Toc2958" </w:instrText>
          </w:r>
          <w:r>
            <w:fldChar w:fldCharType="separate"/>
          </w:r>
          <w:r>
            <w:rPr>
              <w:rFonts w:hint="eastAsia"/>
            </w:rPr>
            <w:t xml:space="preserve">（二） </w:t>
          </w:r>
          <w:r>
            <w:t>面临的新挑战</w:t>
          </w:r>
          <w:r>
            <w:tab/>
          </w:r>
          <w:r>
            <w:fldChar w:fldCharType="begin"/>
          </w:r>
          <w:r>
            <w:instrText xml:space="preserve"> PAGEREF _Toc2958 \h </w:instrText>
          </w:r>
          <w:r>
            <w:fldChar w:fldCharType="separate"/>
          </w:r>
          <w:r>
            <w:t>8</w:t>
          </w:r>
          <w:r>
            <w:fldChar w:fldCharType="end"/>
          </w:r>
          <w:r>
            <w:fldChar w:fldCharType="end"/>
          </w:r>
        </w:p>
        <w:p>
          <w:pPr>
            <w:pStyle w:val="12"/>
            <w:tabs>
              <w:tab w:val="right" w:leader="dot" w:pos="8902"/>
            </w:tabs>
          </w:pPr>
          <w:r>
            <w:fldChar w:fldCharType="begin"/>
          </w:r>
          <w:r>
            <w:instrText xml:space="preserve"> HYPERLINK \l "_Toc19092" </w:instrText>
          </w:r>
          <w:r>
            <w:fldChar w:fldCharType="separate"/>
          </w:r>
          <w:r>
            <w:rPr>
              <w:rFonts w:hint="eastAsia"/>
            </w:rPr>
            <w:t xml:space="preserve">（三） </w:t>
          </w:r>
          <w:r>
            <w:t>发展的新机遇</w:t>
          </w:r>
          <w:r>
            <w:tab/>
          </w:r>
          <w:r>
            <w:fldChar w:fldCharType="begin"/>
          </w:r>
          <w:r>
            <w:instrText xml:space="preserve"> PAGEREF _Toc19092 \h </w:instrText>
          </w:r>
          <w:r>
            <w:fldChar w:fldCharType="separate"/>
          </w:r>
          <w:r>
            <w:t>16</w:t>
          </w:r>
          <w:r>
            <w:fldChar w:fldCharType="end"/>
          </w:r>
          <w:r>
            <w:fldChar w:fldCharType="end"/>
          </w:r>
        </w:p>
        <w:p>
          <w:pPr>
            <w:pStyle w:val="11"/>
            <w:tabs>
              <w:tab w:val="right" w:leader="dot" w:pos="8902"/>
            </w:tabs>
          </w:pPr>
          <w:r>
            <w:fldChar w:fldCharType="begin"/>
          </w:r>
          <w:r>
            <w:instrText xml:space="preserve"> HYPERLINK \l "_Toc26478" </w:instrText>
          </w:r>
          <w:r>
            <w:fldChar w:fldCharType="separate"/>
          </w:r>
          <w:r>
            <w:rPr>
              <w:rFonts w:hint="eastAsia" w:ascii="方正小标宋_GBK" w:hAnsi="Calibri" w:eastAsia="方正小标宋_GBK"/>
              <w:szCs w:val="36"/>
            </w:rPr>
            <w:t>第二章   指导思想、基本原则和主要目标</w:t>
          </w:r>
          <w:r>
            <w:tab/>
          </w:r>
          <w:r>
            <w:fldChar w:fldCharType="begin"/>
          </w:r>
          <w:r>
            <w:instrText xml:space="preserve"> PAGEREF _Toc26478 \h </w:instrText>
          </w:r>
          <w:r>
            <w:fldChar w:fldCharType="separate"/>
          </w:r>
          <w:r>
            <w:t>19</w:t>
          </w:r>
          <w:r>
            <w:fldChar w:fldCharType="end"/>
          </w:r>
          <w:r>
            <w:fldChar w:fldCharType="end"/>
          </w:r>
        </w:p>
        <w:p>
          <w:pPr>
            <w:pStyle w:val="12"/>
            <w:tabs>
              <w:tab w:val="right" w:leader="dot" w:pos="8902"/>
            </w:tabs>
          </w:pPr>
          <w:r>
            <w:fldChar w:fldCharType="begin"/>
          </w:r>
          <w:r>
            <w:instrText xml:space="preserve"> HYPERLINK \l "_Toc11728" </w:instrText>
          </w:r>
          <w:r>
            <w:fldChar w:fldCharType="separate"/>
          </w:r>
          <w:r>
            <w:rPr>
              <w:rFonts w:hint="eastAsia"/>
            </w:rPr>
            <w:t>（一）指导思想</w:t>
          </w:r>
          <w:r>
            <w:tab/>
          </w:r>
          <w:r>
            <w:fldChar w:fldCharType="begin"/>
          </w:r>
          <w:r>
            <w:instrText xml:space="preserve"> PAGEREF _Toc11728 \h </w:instrText>
          </w:r>
          <w:r>
            <w:fldChar w:fldCharType="separate"/>
          </w:r>
          <w:r>
            <w:t>19</w:t>
          </w:r>
          <w:r>
            <w:fldChar w:fldCharType="end"/>
          </w:r>
          <w:r>
            <w:fldChar w:fldCharType="end"/>
          </w:r>
        </w:p>
        <w:p>
          <w:pPr>
            <w:pStyle w:val="12"/>
            <w:tabs>
              <w:tab w:val="right" w:leader="dot" w:pos="8902"/>
            </w:tabs>
          </w:pPr>
          <w:r>
            <w:fldChar w:fldCharType="begin"/>
          </w:r>
          <w:r>
            <w:instrText xml:space="preserve"> HYPERLINK \l "_Toc17355" </w:instrText>
          </w:r>
          <w:r>
            <w:fldChar w:fldCharType="separate"/>
          </w:r>
          <w:r>
            <w:rPr>
              <w:rFonts w:hint="eastAsia"/>
            </w:rPr>
            <w:t>（二）基本原则</w:t>
          </w:r>
          <w:r>
            <w:tab/>
          </w:r>
          <w:r>
            <w:fldChar w:fldCharType="begin"/>
          </w:r>
          <w:r>
            <w:instrText xml:space="preserve"> PAGEREF _Toc17355 \h </w:instrText>
          </w:r>
          <w:r>
            <w:fldChar w:fldCharType="separate"/>
          </w:r>
          <w:r>
            <w:t>20</w:t>
          </w:r>
          <w:r>
            <w:fldChar w:fldCharType="end"/>
          </w:r>
          <w:r>
            <w:fldChar w:fldCharType="end"/>
          </w:r>
        </w:p>
        <w:p>
          <w:pPr>
            <w:pStyle w:val="12"/>
            <w:tabs>
              <w:tab w:val="right" w:leader="dot" w:pos="8902"/>
            </w:tabs>
          </w:pPr>
          <w:r>
            <w:fldChar w:fldCharType="begin"/>
          </w:r>
          <w:r>
            <w:instrText xml:space="preserve"> HYPERLINK \l "_Toc18083" </w:instrText>
          </w:r>
          <w:r>
            <w:fldChar w:fldCharType="separate"/>
          </w:r>
          <w:r>
            <w:rPr>
              <w:rFonts w:hint="eastAsia"/>
            </w:rPr>
            <w:t>（三）主要目标</w:t>
          </w:r>
          <w:r>
            <w:tab/>
          </w:r>
          <w:r>
            <w:fldChar w:fldCharType="begin"/>
          </w:r>
          <w:r>
            <w:instrText xml:space="preserve"> PAGEREF _Toc18083 \h </w:instrText>
          </w:r>
          <w:r>
            <w:fldChar w:fldCharType="separate"/>
          </w:r>
          <w:r>
            <w:t>21</w:t>
          </w:r>
          <w:r>
            <w:fldChar w:fldCharType="end"/>
          </w:r>
          <w:r>
            <w:fldChar w:fldCharType="end"/>
          </w:r>
        </w:p>
        <w:p>
          <w:pPr>
            <w:pStyle w:val="11"/>
            <w:tabs>
              <w:tab w:val="right" w:leader="dot" w:pos="8902"/>
            </w:tabs>
          </w:pPr>
          <w:r>
            <w:fldChar w:fldCharType="begin"/>
          </w:r>
          <w:r>
            <w:instrText xml:space="preserve"> HYPERLINK \l "_Toc12080" </w:instrText>
          </w:r>
          <w:r>
            <w:fldChar w:fldCharType="separate"/>
          </w:r>
          <w:r>
            <w:rPr>
              <w:rFonts w:hint="eastAsia" w:ascii="方正小标宋_GBK" w:hAnsi="Calibri" w:eastAsia="方正小标宋_GBK"/>
              <w:szCs w:val="36"/>
            </w:rPr>
            <w:t>第三章   防范化解重大消防安全风险，增强重特大火灾事故抵御韧性</w:t>
          </w:r>
          <w:r>
            <w:tab/>
          </w:r>
          <w:r>
            <w:fldChar w:fldCharType="begin"/>
          </w:r>
          <w:r>
            <w:instrText xml:space="preserve"> PAGEREF _Toc12080 \h </w:instrText>
          </w:r>
          <w:r>
            <w:fldChar w:fldCharType="separate"/>
          </w:r>
          <w:r>
            <w:t>24</w:t>
          </w:r>
          <w:r>
            <w:fldChar w:fldCharType="end"/>
          </w:r>
          <w:r>
            <w:fldChar w:fldCharType="end"/>
          </w:r>
        </w:p>
        <w:p>
          <w:pPr>
            <w:pStyle w:val="12"/>
            <w:tabs>
              <w:tab w:val="right" w:leader="dot" w:pos="8902"/>
            </w:tabs>
          </w:pPr>
          <w:r>
            <w:fldChar w:fldCharType="begin"/>
          </w:r>
          <w:r>
            <w:instrText xml:space="preserve"> HYPERLINK \l "_Toc9212" </w:instrText>
          </w:r>
          <w:r>
            <w:fldChar w:fldCharType="separate"/>
          </w:r>
          <w:r>
            <w:rPr>
              <w:rFonts w:hint="eastAsia"/>
            </w:rPr>
            <w:t>（一）压实消防工作责任</w:t>
          </w:r>
          <w:r>
            <w:tab/>
          </w:r>
          <w:r>
            <w:fldChar w:fldCharType="begin"/>
          </w:r>
          <w:r>
            <w:instrText xml:space="preserve"> PAGEREF _Toc9212 \h </w:instrText>
          </w:r>
          <w:r>
            <w:fldChar w:fldCharType="separate"/>
          </w:r>
          <w:r>
            <w:t>24</w:t>
          </w:r>
          <w:r>
            <w:fldChar w:fldCharType="end"/>
          </w:r>
          <w:r>
            <w:fldChar w:fldCharType="end"/>
          </w:r>
        </w:p>
        <w:p>
          <w:pPr>
            <w:pStyle w:val="12"/>
            <w:tabs>
              <w:tab w:val="right" w:leader="dot" w:pos="8902"/>
            </w:tabs>
          </w:pPr>
          <w:r>
            <w:fldChar w:fldCharType="begin"/>
          </w:r>
          <w:r>
            <w:instrText xml:space="preserve"> HYPERLINK \l "_Toc30002" </w:instrText>
          </w:r>
          <w:r>
            <w:fldChar w:fldCharType="separate"/>
          </w:r>
          <w:r>
            <w:rPr>
              <w:rFonts w:hint="eastAsia"/>
            </w:rPr>
            <w:t>（二） 构建新型监管模式</w:t>
          </w:r>
          <w:r>
            <w:tab/>
          </w:r>
          <w:r>
            <w:fldChar w:fldCharType="begin"/>
          </w:r>
          <w:r>
            <w:instrText xml:space="preserve"> PAGEREF _Toc30002 \h </w:instrText>
          </w:r>
          <w:r>
            <w:fldChar w:fldCharType="separate"/>
          </w:r>
          <w:r>
            <w:t>25</w:t>
          </w:r>
          <w:r>
            <w:fldChar w:fldCharType="end"/>
          </w:r>
          <w:r>
            <w:fldChar w:fldCharType="end"/>
          </w:r>
        </w:p>
        <w:p>
          <w:pPr>
            <w:pStyle w:val="12"/>
            <w:tabs>
              <w:tab w:val="right" w:leader="dot" w:pos="8902"/>
            </w:tabs>
          </w:pPr>
          <w:r>
            <w:fldChar w:fldCharType="begin"/>
          </w:r>
          <w:r>
            <w:instrText xml:space="preserve"> HYPERLINK \l "_Toc499" </w:instrText>
          </w:r>
          <w:r>
            <w:fldChar w:fldCharType="separate"/>
          </w:r>
          <w:r>
            <w:rPr>
              <w:rFonts w:hint="eastAsia"/>
            </w:rPr>
            <w:t>（三） 加强精准高效治理</w:t>
          </w:r>
          <w:r>
            <w:tab/>
          </w:r>
          <w:r>
            <w:fldChar w:fldCharType="begin"/>
          </w:r>
          <w:r>
            <w:instrText xml:space="preserve"> PAGEREF _Toc499 \h </w:instrText>
          </w:r>
          <w:r>
            <w:fldChar w:fldCharType="separate"/>
          </w:r>
          <w:r>
            <w:t>26</w:t>
          </w:r>
          <w:r>
            <w:fldChar w:fldCharType="end"/>
          </w:r>
          <w:r>
            <w:fldChar w:fldCharType="end"/>
          </w:r>
        </w:p>
        <w:p>
          <w:pPr>
            <w:pStyle w:val="12"/>
            <w:tabs>
              <w:tab w:val="right" w:leader="dot" w:pos="8902"/>
            </w:tabs>
          </w:pPr>
          <w:r>
            <w:fldChar w:fldCharType="begin"/>
          </w:r>
          <w:r>
            <w:instrText xml:space="preserve"> HYPERLINK \l "_Toc27898" </w:instrText>
          </w:r>
          <w:r>
            <w:fldChar w:fldCharType="separate"/>
          </w:r>
          <w:r>
            <w:rPr>
              <w:rFonts w:hint="eastAsia"/>
            </w:rPr>
            <w:t>（四） 健全火灾隐患排查体系</w:t>
          </w:r>
          <w:r>
            <w:tab/>
          </w:r>
          <w:r>
            <w:fldChar w:fldCharType="begin"/>
          </w:r>
          <w:r>
            <w:instrText xml:space="preserve"> PAGEREF _Toc27898 \h </w:instrText>
          </w:r>
          <w:r>
            <w:fldChar w:fldCharType="separate"/>
          </w:r>
          <w:r>
            <w:t>27</w:t>
          </w:r>
          <w:r>
            <w:fldChar w:fldCharType="end"/>
          </w:r>
          <w:r>
            <w:fldChar w:fldCharType="end"/>
          </w:r>
        </w:p>
        <w:p>
          <w:pPr>
            <w:pStyle w:val="11"/>
            <w:tabs>
              <w:tab w:val="right" w:leader="dot" w:pos="8902"/>
            </w:tabs>
          </w:pPr>
          <w:r>
            <w:fldChar w:fldCharType="begin"/>
          </w:r>
          <w:r>
            <w:instrText xml:space="preserve"> HYPERLINK \l "_Toc181" </w:instrText>
          </w:r>
          <w:r>
            <w:fldChar w:fldCharType="separate"/>
          </w:r>
          <w:r>
            <w:rPr>
              <w:rFonts w:hint="eastAsia" w:ascii="方正小标宋_GBK" w:hAnsi="Calibri" w:eastAsia="方正小标宋_GBK"/>
              <w:szCs w:val="36"/>
            </w:rPr>
            <w:t>第四章   夯实消防治理基础，构建共建共治共享格局</w:t>
          </w:r>
          <w:r>
            <w:tab/>
          </w:r>
          <w:r>
            <w:fldChar w:fldCharType="begin"/>
          </w:r>
          <w:r>
            <w:instrText xml:space="preserve"> PAGEREF _Toc181 \h </w:instrText>
          </w:r>
          <w:r>
            <w:fldChar w:fldCharType="separate"/>
          </w:r>
          <w:r>
            <w:t>31</w:t>
          </w:r>
          <w:r>
            <w:fldChar w:fldCharType="end"/>
          </w:r>
          <w:r>
            <w:fldChar w:fldCharType="end"/>
          </w:r>
        </w:p>
        <w:p>
          <w:pPr>
            <w:pStyle w:val="12"/>
            <w:tabs>
              <w:tab w:val="right" w:leader="dot" w:pos="8902"/>
            </w:tabs>
          </w:pPr>
          <w:r>
            <w:fldChar w:fldCharType="begin"/>
          </w:r>
          <w:r>
            <w:instrText xml:space="preserve"> HYPERLINK \l "_Toc27905" </w:instrText>
          </w:r>
          <w:r>
            <w:fldChar w:fldCharType="separate"/>
          </w:r>
          <w:r>
            <w:rPr>
              <w:rFonts w:hint="eastAsia"/>
            </w:rPr>
            <w:t>（一）全面加强法制保障</w:t>
          </w:r>
          <w:r>
            <w:tab/>
          </w:r>
          <w:r>
            <w:fldChar w:fldCharType="begin"/>
          </w:r>
          <w:r>
            <w:instrText xml:space="preserve"> PAGEREF _Toc27905 \h </w:instrText>
          </w:r>
          <w:r>
            <w:fldChar w:fldCharType="separate"/>
          </w:r>
          <w:r>
            <w:t>31</w:t>
          </w:r>
          <w:r>
            <w:fldChar w:fldCharType="end"/>
          </w:r>
          <w:r>
            <w:fldChar w:fldCharType="end"/>
          </w:r>
        </w:p>
        <w:p>
          <w:pPr>
            <w:pStyle w:val="12"/>
            <w:tabs>
              <w:tab w:val="right" w:leader="dot" w:pos="8902"/>
            </w:tabs>
          </w:pPr>
          <w:r>
            <w:fldChar w:fldCharType="begin"/>
          </w:r>
          <w:r>
            <w:instrText xml:space="preserve"> HYPERLINK \l "_Toc32724" </w:instrText>
          </w:r>
          <w:r>
            <w:fldChar w:fldCharType="separate"/>
          </w:r>
          <w:r>
            <w:rPr>
              <w:rFonts w:hint="eastAsia"/>
            </w:rPr>
            <w:t>（二） 推动社会多元共治</w:t>
          </w:r>
          <w:r>
            <w:tab/>
          </w:r>
          <w:r>
            <w:fldChar w:fldCharType="begin"/>
          </w:r>
          <w:r>
            <w:instrText xml:space="preserve"> PAGEREF _Toc32724 \h </w:instrText>
          </w:r>
          <w:r>
            <w:fldChar w:fldCharType="separate"/>
          </w:r>
          <w:r>
            <w:t>32</w:t>
          </w:r>
          <w:r>
            <w:fldChar w:fldCharType="end"/>
          </w:r>
          <w:r>
            <w:fldChar w:fldCharType="end"/>
          </w:r>
        </w:p>
        <w:p>
          <w:pPr>
            <w:pStyle w:val="12"/>
            <w:tabs>
              <w:tab w:val="right" w:leader="dot" w:pos="8902"/>
            </w:tabs>
          </w:pPr>
          <w:r>
            <w:fldChar w:fldCharType="begin"/>
          </w:r>
          <w:r>
            <w:instrText xml:space="preserve"> HYPERLINK \l "_Toc5543" </w:instrText>
          </w:r>
          <w:r>
            <w:fldChar w:fldCharType="separate"/>
          </w:r>
          <w:r>
            <w:rPr>
              <w:rFonts w:hint="eastAsia"/>
            </w:rPr>
            <w:t>（三） 加强基础设施建设</w:t>
          </w:r>
          <w:r>
            <w:tab/>
          </w:r>
          <w:r>
            <w:fldChar w:fldCharType="begin"/>
          </w:r>
          <w:r>
            <w:instrText xml:space="preserve"> PAGEREF _Toc5543 \h </w:instrText>
          </w:r>
          <w:r>
            <w:fldChar w:fldCharType="separate"/>
          </w:r>
          <w:r>
            <w:t>33</w:t>
          </w:r>
          <w:r>
            <w:fldChar w:fldCharType="end"/>
          </w:r>
          <w:r>
            <w:fldChar w:fldCharType="end"/>
          </w:r>
        </w:p>
        <w:p>
          <w:pPr>
            <w:pStyle w:val="12"/>
            <w:tabs>
              <w:tab w:val="right" w:leader="dot" w:pos="8902"/>
            </w:tabs>
          </w:pPr>
          <w:r>
            <w:fldChar w:fldCharType="begin"/>
          </w:r>
          <w:r>
            <w:instrText xml:space="preserve"> HYPERLINK \l "_Toc10489" </w:instrText>
          </w:r>
          <w:r>
            <w:fldChar w:fldCharType="separate"/>
          </w:r>
          <w:r>
            <w:rPr>
              <w:rFonts w:hint="eastAsia"/>
            </w:rPr>
            <w:t>（四） 提升公众消防素质</w:t>
          </w:r>
          <w:r>
            <w:tab/>
          </w:r>
          <w:r>
            <w:fldChar w:fldCharType="begin"/>
          </w:r>
          <w:r>
            <w:instrText xml:space="preserve"> PAGEREF _Toc10489 \h </w:instrText>
          </w:r>
          <w:r>
            <w:fldChar w:fldCharType="separate"/>
          </w:r>
          <w:r>
            <w:t>35</w:t>
          </w:r>
          <w:r>
            <w:fldChar w:fldCharType="end"/>
          </w:r>
          <w:r>
            <w:fldChar w:fldCharType="end"/>
          </w:r>
        </w:p>
        <w:p>
          <w:pPr>
            <w:pStyle w:val="12"/>
            <w:tabs>
              <w:tab w:val="right" w:leader="dot" w:pos="8902"/>
            </w:tabs>
          </w:pPr>
          <w:r>
            <w:fldChar w:fldCharType="begin"/>
          </w:r>
          <w:r>
            <w:instrText xml:space="preserve"> HYPERLINK \l "_Toc29074" </w:instrText>
          </w:r>
          <w:r>
            <w:fldChar w:fldCharType="separate"/>
          </w:r>
          <w:r>
            <w:rPr>
              <w:rFonts w:hint="eastAsia"/>
            </w:rPr>
            <w:t>（五） 建立经费长效保障机制</w:t>
          </w:r>
          <w:r>
            <w:tab/>
          </w:r>
          <w:r>
            <w:fldChar w:fldCharType="begin"/>
          </w:r>
          <w:r>
            <w:instrText xml:space="preserve"> PAGEREF _Toc29074 \h </w:instrText>
          </w:r>
          <w:r>
            <w:fldChar w:fldCharType="separate"/>
          </w:r>
          <w:r>
            <w:t>39</w:t>
          </w:r>
          <w:r>
            <w:fldChar w:fldCharType="end"/>
          </w:r>
          <w:r>
            <w:fldChar w:fldCharType="end"/>
          </w:r>
        </w:p>
        <w:p>
          <w:pPr>
            <w:pStyle w:val="11"/>
            <w:tabs>
              <w:tab w:val="right" w:leader="dot" w:pos="8902"/>
            </w:tabs>
          </w:pPr>
          <w:r>
            <w:fldChar w:fldCharType="begin"/>
          </w:r>
          <w:r>
            <w:instrText xml:space="preserve"> HYPERLINK \l "_Toc19789" </w:instrText>
          </w:r>
          <w:r>
            <w:fldChar w:fldCharType="separate"/>
          </w:r>
          <w:r>
            <w:rPr>
              <w:rFonts w:hint="eastAsia" w:ascii="方正小标宋_GBK" w:hAnsi="Calibri" w:eastAsia="方正小标宋_GBK"/>
              <w:szCs w:val="36"/>
            </w:rPr>
            <w:t>第五章   构建特色消防救援力量，完善消防救援体系</w:t>
          </w:r>
          <w:r>
            <w:tab/>
          </w:r>
          <w:r>
            <w:fldChar w:fldCharType="begin"/>
          </w:r>
          <w:r>
            <w:instrText xml:space="preserve"> PAGEREF _Toc19789 \h </w:instrText>
          </w:r>
          <w:r>
            <w:fldChar w:fldCharType="separate"/>
          </w:r>
          <w:r>
            <w:t>41</w:t>
          </w:r>
          <w:r>
            <w:fldChar w:fldCharType="end"/>
          </w:r>
          <w:r>
            <w:fldChar w:fldCharType="end"/>
          </w:r>
        </w:p>
        <w:p>
          <w:pPr>
            <w:pStyle w:val="12"/>
            <w:tabs>
              <w:tab w:val="right" w:leader="dot" w:pos="8902"/>
            </w:tabs>
          </w:pPr>
          <w:r>
            <w:fldChar w:fldCharType="begin"/>
          </w:r>
          <w:r>
            <w:instrText xml:space="preserve"> HYPERLINK \l "_Toc8695" </w:instrText>
          </w:r>
          <w:r>
            <w:fldChar w:fldCharType="separate"/>
          </w:r>
          <w:r>
            <w:rPr>
              <w:rFonts w:hint="eastAsia"/>
            </w:rPr>
            <w:t>（一）建立专业化消防救援尖刀力量</w:t>
          </w:r>
          <w:r>
            <w:tab/>
          </w:r>
          <w:r>
            <w:fldChar w:fldCharType="begin"/>
          </w:r>
          <w:r>
            <w:instrText xml:space="preserve"> PAGEREF _Toc8695 \h </w:instrText>
          </w:r>
          <w:r>
            <w:fldChar w:fldCharType="separate"/>
          </w:r>
          <w:r>
            <w:t>41</w:t>
          </w:r>
          <w:r>
            <w:fldChar w:fldCharType="end"/>
          </w:r>
          <w:r>
            <w:fldChar w:fldCharType="end"/>
          </w:r>
        </w:p>
        <w:p>
          <w:pPr>
            <w:pStyle w:val="12"/>
            <w:tabs>
              <w:tab w:val="right" w:leader="dot" w:pos="8902"/>
            </w:tabs>
          </w:pPr>
          <w:r>
            <w:fldChar w:fldCharType="begin"/>
          </w:r>
          <w:r>
            <w:instrText xml:space="preserve"> HYPERLINK \l "_Toc4890" </w:instrText>
          </w:r>
          <w:r>
            <w:fldChar w:fldCharType="separate"/>
          </w:r>
          <w:r>
            <w:rPr>
              <w:rFonts w:hint="eastAsia"/>
            </w:rPr>
            <w:t>（二） 大力发展多种形式消防队伍</w:t>
          </w:r>
          <w:r>
            <w:tab/>
          </w:r>
          <w:r>
            <w:fldChar w:fldCharType="begin"/>
          </w:r>
          <w:r>
            <w:instrText xml:space="preserve"> PAGEREF _Toc4890 \h </w:instrText>
          </w:r>
          <w:r>
            <w:fldChar w:fldCharType="separate"/>
          </w:r>
          <w:r>
            <w:t>41</w:t>
          </w:r>
          <w:r>
            <w:fldChar w:fldCharType="end"/>
          </w:r>
          <w:r>
            <w:fldChar w:fldCharType="end"/>
          </w:r>
        </w:p>
        <w:p>
          <w:pPr>
            <w:pStyle w:val="12"/>
            <w:tabs>
              <w:tab w:val="right" w:leader="dot" w:pos="8902"/>
            </w:tabs>
          </w:pPr>
          <w:r>
            <w:fldChar w:fldCharType="begin"/>
          </w:r>
          <w:r>
            <w:instrText xml:space="preserve"> HYPERLINK \l "_Toc15931" </w:instrText>
          </w:r>
          <w:r>
            <w:fldChar w:fldCharType="separate"/>
          </w:r>
          <w:r>
            <w:rPr>
              <w:rFonts w:hint="eastAsia"/>
            </w:rPr>
            <w:t>（三） 提高实战实训能力</w:t>
          </w:r>
          <w:r>
            <w:tab/>
          </w:r>
          <w:r>
            <w:fldChar w:fldCharType="begin"/>
          </w:r>
          <w:r>
            <w:instrText xml:space="preserve"> PAGEREF _Toc15931 \h </w:instrText>
          </w:r>
          <w:r>
            <w:fldChar w:fldCharType="separate"/>
          </w:r>
          <w:r>
            <w:t>42</w:t>
          </w:r>
          <w:r>
            <w:fldChar w:fldCharType="end"/>
          </w:r>
          <w:r>
            <w:fldChar w:fldCharType="end"/>
          </w:r>
        </w:p>
        <w:p>
          <w:pPr>
            <w:pStyle w:val="11"/>
            <w:tabs>
              <w:tab w:val="right" w:leader="dot" w:pos="8902"/>
            </w:tabs>
          </w:pPr>
          <w:r>
            <w:fldChar w:fldCharType="begin"/>
          </w:r>
          <w:r>
            <w:instrText xml:space="preserve"> HYPERLINK \l "_Toc7531" </w:instrText>
          </w:r>
          <w:r>
            <w:fldChar w:fldCharType="separate"/>
          </w:r>
          <w:r>
            <w:rPr>
              <w:rFonts w:hint="eastAsia" w:ascii="方正小标宋_GBK" w:hAnsi="Calibri" w:eastAsia="方正小标宋_GBK"/>
              <w:szCs w:val="36"/>
            </w:rPr>
            <w:t>第六章   构建现代化应急装备战勤体系，提升攻坚打赢支撑能力</w:t>
          </w:r>
          <w:r>
            <w:tab/>
          </w:r>
          <w:r>
            <w:fldChar w:fldCharType="begin"/>
          </w:r>
          <w:r>
            <w:instrText xml:space="preserve"> PAGEREF _Toc7531 \h </w:instrText>
          </w:r>
          <w:r>
            <w:fldChar w:fldCharType="separate"/>
          </w:r>
          <w:r>
            <w:t>43</w:t>
          </w:r>
          <w:r>
            <w:fldChar w:fldCharType="end"/>
          </w:r>
          <w:r>
            <w:fldChar w:fldCharType="end"/>
          </w:r>
        </w:p>
        <w:p>
          <w:pPr>
            <w:pStyle w:val="12"/>
            <w:tabs>
              <w:tab w:val="right" w:leader="dot" w:pos="8902"/>
            </w:tabs>
          </w:pPr>
          <w:r>
            <w:fldChar w:fldCharType="begin"/>
          </w:r>
          <w:r>
            <w:instrText xml:space="preserve"> HYPERLINK \l "_Toc2448" </w:instrText>
          </w:r>
          <w:r>
            <w:fldChar w:fldCharType="separate"/>
          </w:r>
          <w:r>
            <w:rPr>
              <w:rFonts w:hint="eastAsia"/>
            </w:rPr>
            <w:t>（一）加快推动应急救援装备升级换代</w:t>
          </w:r>
          <w:r>
            <w:tab/>
          </w:r>
          <w:r>
            <w:fldChar w:fldCharType="begin"/>
          </w:r>
          <w:r>
            <w:instrText xml:space="preserve"> PAGEREF _Toc2448 \h </w:instrText>
          </w:r>
          <w:r>
            <w:fldChar w:fldCharType="separate"/>
          </w:r>
          <w:r>
            <w:t>43</w:t>
          </w:r>
          <w:r>
            <w:fldChar w:fldCharType="end"/>
          </w:r>
          <w:r>
            <w:fldChar w:fldCharType="end"/>
          </w:r>
        </w:p>
        <w:p>
          <w:pPr>
            <w:pStyle w:val="12"/>
            <w:tabs>
              <w:tab w:val="right" w:leader="dot" w:pos="8902"/>
            </w:tabs>
          </w:pPr>
          <w:r>
            <w:fldChar w:fldCharType="begin"/>
          </w:r>
          <w:r>
            <w:instrText xml:space="preserve"> HYPERLINK \l "_Toc26038" </w:instrText>
          </w:r>
          <w:r>
            <w:fldChar w:fldCharType="separate"/>
          </w:r>
          <w:r>
            <w:rPr>
              <w:rFonts w:hint="eastAsia"/>
            </w:rPr>
            <w:t>（二） 加快提升战勤保障能力</w:t>
          </w:r>
          <w:r>
            <w:tab/>
          </w:r>
          <w:r>
            <w:fldChar w:fldCharType="begin"/>
          </w:r>
          <w:r>
            <w:instrText xml:space="preserve"> PAGEREF _Toc26038 \h </w:instrText>
          </w:r>
          <w:r>
            <w:fldChar w:fldCharType="separate"/>
          </w:r>
          <w:r>
            <w:t>45</w:t>
          </w:r>
          <w:r>
            <w:fldChar w:fldCharType="end"/>
          </w:r>
          <w:r>
            <w:fldChar w:fldCharType="end"/>
          </w:r>
        </w:p>
        <w:p>
          <w:pPr>
            <w:pStyle w:val="12"/>
            <w:tabs>
              <w:tab w:val="right" w:leader="dot" w:pos="8902"/>
            </w:tabs>
          </w:pPr>
          <w:r>
            <w:fldChar w:fldCharType="begin"/>
          </w:r>
          <w:r>
            <w:instrText xml:space="preserve"> HYPERLINK \l "_Toc30324" </w:instrText>
          </w:r>
          <w:r>
            <w:fldChar w:fldCharType="separate"/>
          </w:r>
          <w:r>
            <w:rPr>
              <w:rFonts w:hint="eastAsia"/>
            </w:rPr>
            <w:t>（三） 加快提升应急装备物资模块化储运能力</w:t>
          </w:r>
          <w:r>
            <w:tab/>
          </w:r>
          <w:r>
            <w:fldChar w:fldCharType="begin"/>
          </w:r>
          <w:r>
            <w:instrText xml:space="preserve"> PAGEREF _Toc30324 \h </w:instrText>
          </w:r>
          <w:r>
            <w:fldChar w:fldCharType="separate"/>
          </w:r>
          <w:r>
            <w:t>46</w:t>
          </w:r>
          <w:r>
            <w:fldChar w:fldCharType="end"/>
          </w:r>
          <w:r>
            <w:fldChar w:fldCharType="end"/>
          </w:r>
        </w:p>
        <w:p>
          <w:pPr>
            <w:pStyle w:val="12"/>
            <w:tabs>
              <w:tab w:val="right" w:leader="dot" w:pos="8902"/>
            </w:tabs>
          </w:pPr>
          <w:r>
            <w:fldChar w:fldCharType="begin"/>
          </w:r>
          <w:r>
            <w:instrText xml:space="preserve"> HYPERLINK \l "_Toc32729" </w:instrText>
          </w:r>
          <w:r>
            <w:fldChar w:fldCharType="separate"/>
          </w:r>
          <w:r>
            <w:rPr>
              <w:rFonts w:hint="eastAsia"/>
            </w:rPr>
            <w:t>（四） 加快提升现场通信保障能力</w:t>
          </w:r>
          <w:r>
            <w:tab/>
          </w:r>
          <w:r>
            <w:fldChar w:fldCharType="begin"/>
          </w:r>
          <w:r>
            <w:instrText xml:space="preserve"> PAGEREF _Toc32729 \h </w:instrText>
          </w:r>
          <w:r>
            <w:fldChar w:fldCharType="separate"/>
          </w:r>
          <w:r>
            <w:t>46</w:t>
          </w:r>
          <w:r>
            <w:fldChar w:fldCharType="end"/>
          </w:r>
          <w:r>
            <w:fldChar w:fldCharType="end"/>
          </w:r>
        </w:p>
        <w:p>
          <w:pPr>
            <w:pStyle w:val="11"/>
            <w:tabs>
              <w:tab w:val="right" w:leader="dot" w:pos="8902"/>
            </w:tabs>
          </w:pPr>
          <w:r>
            <w:fldChar w:fldCharType="begin"/>
          </w:r>
          <w:r>
            <w:instrText xml:space="preserve"> HYPERLINK \l "_Toc28482" </w:instrText>
          </w:r>
          <w:r>
            <w:fldChar w:fldCharType="separate"/>
          </w:r>
          <w:r>
            <w:rPr>
              <w:rFonts w:hint="eastAsia" w:ascii="方正小标宋_GBK" w:hAnsi="Calibri" w:eastAsia="方正小标宋_GBK"/>
              <w:szCs w:val="36"/>
            </w:rPr>
            <w:t>第七章 推进信息化建设，打造智慧消防</w:t>
          </w:r>
          <w:r>
            <w:tab/>
          </w:r>
          <w:r>
            <w:fldChar w:fldCharType="begin"/>
          </w:r>
          <w:r>
            <w:instrText xml:space="preserve"> PAGEREF _Toc28482 \h </w:instrText>
          </w:r>
          <w:r>
            <w:fldChar w:fldCharType="separate"/>
          </w:r>
          <w:r>
            <w:t>48</w:t>
          </w:r>
          <w:r>
            <w:fldChar w:fldCharType="end"/>
          </w:r>
          <w:r>
            <w:fldChar w:fldCharType="end"/>
          </w:r>
        </w:p>
        <w:p>
          <w:pPr>
            <w:pStyle w:val="12"/>
            <w:tabs>
              <w:tab w:val="right" w:leader="dot" w:pos="8902"/>
            </w:tabs>
          </w:pPr>
          <w:r>
            <w:fldChar w:fldCharType="begin"/>
          </w:r>
          <w:r>
            <w:instrText xml:space="preserve"> HYPERLINK \l "_Toc746" </w:instrText>
          </w:r>
          <w:r>
            <w:fldChar w:fldCharType="separate"/>
          </w:r>
          <w:r>
            <w:rPr>
              <w:rFonts w:hint="eastAsia"/>
            </w:rPr>
            <w:t>（一）加强消防科技研发攻关</w:t>
          </w:r>
          <w:r>
            <w:tab/>
          </w:r>
          <w:r>
            <w:fldChar w:fldCharType="begin"/>
          </w:r>
          <w:r>
            <w:instrText xml:space="preserve"> PAGEREF _Toc746 \h </w:instrText>
          </w:r>
          <w:r>
            <w:fldChar w:fldCharType="separate"/>
          </w:r>
          <w:r>
            <w:t>48</w:t>
          </w:r>
          <w:r>
            <w:fldChar w:fldCharType="end"/>
          </w:r>
          <w:r>
            <w:fldChar w:fldCharType="end"/>
          </w:r>
        </w:p>
        <w:p>
          <w:pPr>
            <w:pStyle w:val="12"/>
            <w:tabs>
              <w:tab w:val="right" w:leader="dot" w:pos="8902"/>
            </w:tabs>
          </w:pPr>
          <w:r>
            <w:fldChar w:fldCharType="begin"/>
          </w:r>
          <w:r>
            <w:instrText xml:space="preserve"> HYPERLINK \l "_Toc21559" </w:instrText>
          </w:r>
          <w:r>
            <w:fldChar w:fldCharType="separate"/>
          </w:r>
          <w:r>
            <w:rPr>
              <w:rFonts w:hint="eastAsia"/>
            </w:rPr>
            <w:t>（二）提升消防信息化基础支撑能力</w:t>
          </w:r>
          <w:r>
            <w:tab/>
          </w:r>
          <w:r>
            <w:fldChar w:fldCharType="begin"/>
          </w:r>
          <w:r>
            <w:instrText xml:space="preserve"> PAGEREF _Toc21559 \h </w:instrText>
          </w:r>
          <w:r>
            <w:fldChar w:fldCharType="separate"/>
          </w:r>
          <w:r>
            <w:t>48</w:t>
          </w:r>
          <w:r>
            <w:fldChar w:fldCharType="end"/>
          </w:r>
          <w:r>
            <w:fldChar w:fldCharType="end"/>
          </w:r>
        </w:p>
        <w:p>
          <w:pPr>
            <w:pStyle w:val="12"/>
            <w:tabs>
              <w:tab w:val="right" w:leader="dot" w:pos="8902"/>
            </w:tabs>
          </w:pPr>
          <w:r>
            <w:fldChar w:fldCharType="begin"/>
          </w:r>
          <w:r>
            <w:instrText xml:space="preserve"> HYPERLINK \l "_Toc26033" </w:instrText>
          </w:r>
          <w:r>
            <w:fldChar w:fldCharType="separate"/>
          </w:r>
          <w:r>
            <w:rPr>
              <w:rFonts w:hint="eastAsia"/>
            </w:rPr>
            <w:t>（三）深化“智慧消防”应用</w:t>
          </w:r>
          <w:r>
            <w:tab/>
          </w:r>
          <w:r>
            <w:fldChar w:fldCharType="begin"/>
          </w:r>
          <w:r>
            <w:instrText xml:space="preserve"> PAGEREF _Toc26033 \h </w:instrText>
          </w:r>
          <w:r>
            <w:fldChar w:fldCharType="separate"/>
          </w:r>
          <w:r>
            <w:t>50</w:t>
          </w:r>
          <w:r>
            <w:fldChar w:fldCharType="end"/>
          </w:r>
          <w:r>
            <w:fldChar w:fldCharType="end"/>
          </w:r>
        </w:p>
        <w:p>
          <w:pPr>
            <w:pStyle w:val="12"/>
            <w:tabs>
              <w:tab w:val="right" w:leader="dot" w:pos="8902"/>
            </w:tabs>
          </w:pPr>
          <w:r>
            <w:fldChar w:fldCharType="begin"/>
          </w:r>
          <w:r>
            <w:instrText xml:space="preserve"> HYPERLINK \l "_Toc25231" </w:instrText>
          </w:r>
          <w:r>
            <w:fldChar w:fldCharType="separate"/>
          </w:r>
          <w:r>
            <w:rPr>
              <w:rFonts w:hint="eastAsia"/>
            </w:rPr>
            <w:t>（四）推动智慧业务应用建设</w:t>
          </w:r>
          <w:r>
            <w:tab/>
          </w:r>
          <w:r>
            <w:fldChar w:fldCharType="begin"/>
          </w:r>
          <w:r>
            <w:instrText xml:space="preserve"> PAGEREF _Toc25231 \h </w:instrText>
          </w:r>
          <w:r>
            <w:fldChar w:fldCharType="separate"/>
          </w:r>
          <w:r>
            <w:t>51</w:t>
          </w:r>
          <w:r>
            <w:fldChar w:fldCharType="end"/>
          </w:r>
          <w:r>
            <w:fldChar w:fldCharType="end"/>
          </w:r>
        </w:p>
        <w:p>
          <w:pPr>
            <w:pStyle w:val="12"/>
            <w:tabs>
              <w:tab w:val="right" w:leader="dot" w:pos="8902"/>
            </w:tabs>
          </w:pPr>
          <w:r>
            <w:fldChar w:fldCharType="begin"/>
          </w:r>
          <w:r>
            <w:instrText xml:space="preserve"> HYPERLINK \l "_Toc21443" </w:instrText>
          </w:r>
          <w:r>
            <w:fldChar w:fldCharType="separate"/>
          </w:r>
          <w:r>
            <w:rPr>
              <w:rFonts w:hint="eastAsia"/>
            </w:rPr>
            <w:t>（五）全面建设消防物联网监控系统</w:t>
          </w:r>
          <w:r>
            <w:tab/>
          </w:r>
          <w:r>
            <w:fldChar w:fldCharType="begin"/>
          </w:r>
          <w:r>
            <w:instrText xml:space="preserve"> PAGEREF _Toc21443 \h </w:instrText>
          </w:r>
          <w:r>
            <w:fldChar w:fldCharType="separate"/>
          </w:r>
          <w:r>
            <w:t>52</w:t>
          </w:r>
          <w:r>
            <w:fldChar w:fldCharType="end"/>
          </w:r>
          <w:r>
            <w:fldChar w:fldCharType="end"/>
          </w:r>
        </w:p>
        <w:p>
          <w:pPr>
            <w:pStyle w:val="11"/>
            <w:tabs>
              <w:tab w:val="right" w:leader="dot" w:pos="8902"/>
            </w:tabs>
          </w:pPr>
          <w:r>
            <w:fldChar w:fldCharType="begin"/>
          </w:r>
          <w:r>
            <w:instrText xml:space="preserve"> HYPERLINK \l "_Toc5549" </w:instrText>
          </w:r>
          <w:r>
            <w:fldChar w:fldCharType="separate"/>
          </w:r>
          <w:r>
            <w:rPr>
              <w:rFonts w:hint="eastAsia" w:ascii="方正小标宋_GBK" w:hAnsi="Calibri" w:eastAsia="方正小标宋_GBK"/>
              <w:szCs w:val="36"/>
            </w:rPr>
            <w:t>第八章 坚定落实各项改革措施，推进消防救援队伍转型升级</w:t>
          </w:r>
          <w:r>
            <w:tab/>
          </w:r>
          <w:r>
            <w:fldChar w:fldCharType="begin"/>
          </w:r>
          <w:r>
            <w:instrText xml:space="preserve"> PAGEREF _Toc5549 \h </w:instrText>
          </w:r>
          <w:r>
            <w:fldChar w:fldCharType="separate"/>
          </w:r>
          <w:r>
            <w:t>53</w:t>
          </w:r>
          <w:r>
            <w:fldChar w:fldCharType="end"/>
          </w:r>
          <w:r>
            <w:fldChar w:fldCharType="end"/>
          </w:r>
        </w:p>
        <w:p>
          <w:pPr>
            <w:pStyle w:val="12"/>
            <w:tabs>
              <w:tab w:val="right" w:leader="dot" w:pos="8902"/>
            </w:tabs>
          </w:pPr>
          <w:r>
            <w:fldChar w:fldCharType="begin"/>
          </w:r>
          <w:r>
            <w:instrText xml:space="preserve"> HYPERLINK \l "_Toc26770" </w:instrText>
          </w:r>
          <w:r>
            <w:fldChar w:fldCharType="separate"/>
          </w:r>
          <w:r>
            <w:rPr>
              <w:rFonts w:hint="eastAsia"/>
            </w:rPr>
            <w:t>（一）大力提升队伍正规化建设水平</w:t>
          </w:r>
          <w:r>
            <w:tab/>
          </w:r>
          <w:r>
            <w:fldChar w:fldCharType="begin"/>
          </w:r>
          <w:r>
            <w:instrText xml:space="preserve"> PAGEREF _Toc26770 \h </w:instrText>
          </w:r>
          <w:r>
            <w:fldChar w:fldCharType="separate"/>
          </w:r>
          <w:r>
            <w:t>53</w:t>
          </w:r>
          <w:r>
            <w:fldChar w:fldCharType="end"/>
          </w:r>
          <w:r>
            <w:fldChar w:fldCharType="end"/>
          </w:r>
        </w:p>
        <w:p>
          <w:pPr>
            <w:pStyle w:val="12"/>
            <w:tabs>
              <w:tab w:val="right" w:leader="dot" w:pos="8902"/>
            </w:tabs>
          </w:pPr>
          <w:r>
            <w:fldChar w:fldCharType="begin"/>
          </w:r>
          <w:r>
            <w:instrText xml:space="preserve"> HYPERLINK \l "_Toc23147" </w:instrText>
          </w:r>
          <w:r>
            <w:fldChar w:fldCharType="separate"/>
          </w:r>
          <w:r>
            <w:rPr>
              <w:rFonts w:hint="eastAsia"/>
            </w:rPr>
            <w:t>（二）建立消防队伍人才培养长效机制</w:t>
          </w:r>
          <w:r>
            <w:tab/>
          </w:r>
          <w:r>
            <w:fldChar w:fldCharType="begin"/>
          </w:r>
          <w:r>
            <w:instrText xml:space="preserve"> PAGEREF _Toc23147 \h </w:instrText>
          </w:r>
          <w:r>
            <w:fldChar w:fldCharType="separate"/>
          </w:r>
          <w:r>
            <w:t>57</w:t>
          </w:r>
          <w:r>
            <w:fldChar w:fldCharType="end"/>
          </w:r>
          <w:r>
            <w:fldChar w:fldCharType="end"/>
          </w:r>
        </w:p>
        <w:p>
          <w:pPr>
            <w:pStyle w:val="12"/>
            <w:tabs>
              <w:tab w:val="right" w:leader="dot" w:pos="8902"/>
            </w:tabs>
          </w:pPr>
          <w:r>
            <w:fldChar w:fldCharType="begin"/>
          </w:r>
          <w:r>
            <w:instrText xml:space="preserve"> HYPERLINK \l "_Toc26613" </w:instrText>
          </w:r>
          <w:r>
            <w:fldChar w:fldCharType="separate"/>
          </w:r>
          <w:r>
            <w:rPr>
              <w:rFonts w:hint="eastAsia"/>
            </w:rPr>
            <w:t>（三）推动消防队伍优抚优待政策落实</w:t>
          </w:r>
          <w:r>
            <w:tab/>
          </w:r>
          <w:r>
            <w:fldChar w:fldCharType="begin"/>
          </w:r>
          <w:r>
            <w:instrText xml:space="preserve"> PAGEREF _Toc26613 \h </w:instrText>
          </w:r>
          <w:r>
            <w:fldChar w:fldCharType="separate"/>
          </w:r>
          <w:r>
            <w:t>58</w:t>
          </w:r>
          <w:r>
            <w:fldChar w:fldCharType="end"/>
          </w:r>
          <w:r>
            <w:fldChar w:fldCharType="end"/>
          </w:r>
        </w:p>
        <w:p>
          <w:pPr>
            <w:pStyle w:val="11"/>
            <w:tabs>
              <w:tab w:val="right" w:leader="dot" w:pos="8902"/>
            </w:tabs>
          </w:pPr>
          <w:r>
            <w:fldChar w:fldCharType="begin"/>
          </w:r>
          <w:r>
            <w:instrText xml:space="preserve"> HYPERLINK \l "_Toc28166" </w:instrText>
          </w:r>
          <w:r>
            <w:fldChar w:fldCharType="separate"/>
          </w:r>
          <w:r>
            <w:rPr>
              <w:rFonts w:hint="eastAsia" w:ascii="方正小标宋_GBK" w:hAnsi="Calibri" w:eastAsia="方正小标宋_GBK"/>
              <w:szCs w:val="36"/>
            </w:rPr>
            <w:t>第九章   实施一批重点工程，进一步筑牢消防救援事业发展根基</w:t>
          </w:r>
          <w:r>
            <w:tab/>
          </w:r>
          <w:r>
            <w:fldChar w:fldCharType="begin"/>
          </w:r>
          <w:r>
            <w:instrText xml:space="preserve"> PAGEREF _Toc28166 \h </w:instrText>
          </w:r>
          <w:r>
            <w:fldChar w:fldCharType="separate"/>
          </w:r>
          <w:r>
            <w:t>59</w:t>
          </w:r>
          <w:r>
            <w:fldChar w:fldCharType="end"/>
          </w:r>
          <w:r>
            <w:fldChar w:fldCharType="end"/>
          </w:r>
        </w:p>
        <w:p>
          <w:pPr>
            <w:pStyle w:val="12"/>
            <w:tabs>
              <w:tab w:val="right" w:leader="dot" w:pos="8902"/>
            </w:tabs>
          </w:pPr>
          <w:r>
            <w:fldChar w:fldCharType="begin"/>
          </w:r>
          <w:r>
            <w:instrText xml:space="preserve"> HYPERLINK \l "_Toc2035" </w:instrText>
          </w:r>
          <w:r>
            <w:fldChar w:fldCharType="separate"/>
          </w:r>
          <w:r>
            <w:rPr>
              <w:rFonts w:hint="eastAsia"/>
            </w:rPr>
            <w:t>（一）社会消防安全治理工程</w:t>
          </w:r>
          <w:r>
            <w:tab/>
          </w:r>
          <w:r>
            <w:fldChar w:fldCharType="begin"/>
          </w:r>
          <w:r>
            <w:instrText xml:space="preserve"> PAGEREF _Toc2035 \h </w:instrText>
          </w:r>
          <w:r>
            <w:fldChar w:fldCharType="separate"/>
          </w:r>
          <w:r>
            <w:t>59</w:t>
          </w:r>
          <w:r>
            <w:fldChar w:fldCharType="end"/>
          </w:r>
          <w:r>
            <w:fldChar w:fldCharType="end"/>
          </w:r>
        </w:p>
        <w:p>
          <w:pPr>
            <w:pStyle w:val="12"/>
            <w:tabs>
              <w:tab w:val="right" w:leader="dot" w:pos="8902"/>
            </w:tabs>
          </w:pPr>
          <w:r>
            <w:fldChar w:fldCharType="begin"/>
          </w:r>
          <w:r>
            <w:instrText xml:space="preserve"> HYPERLINK \l "_Toc19776" </w:instrText>
          </w:r>
          <w:r>
            <w:fldChar w:fldCharType="separate"/>
          </w:r>
          <w:r>
            <w:rPr>
              <w:rFonts w:hint="eastAsia"/>
            </w:rPr>
            <w:t>（二）公众消防素养提升工程</w:t>
          </w:r>
          <w:r>
            <w:tab/>
          </w:r>
          <w:r>
            <w:fldChar w:fldCharType="begin"/>
          </w:r>
          <w:r>
            <w:instrText xml:space="preserve"> PAGEREF _Toc19776 \h </w:instrText>
          </w:r>
          <w:r>
            <w:fldChar w:fldCharType="separate"/>
          </w:r>
          <w:r>
            <w:t>60</w:t>
          </w:r>
          <w:r>
            <w:fldChar w:fldCharType="end"/>
          </w:r>
          <w:r>
            <w:fldChar w:fldCharType="end"/>
          </w:r>
        </w:p>
        <w:p>
          <w:pPr>
            <w:pStyle w:val="12"/>
            <w:tabs>
              <w:tab w:val="right" w:leader="dot" w:pos="8902"/>
            </w:tabs>
          </w:pPr>
          <w:r>
            <w:fldChar w:fldCharType="begin"/>
          </w:r>
          <w:r>
            <w:instrText xml:space="preserve"> HYPERLINK \l "_Toc15824" </w:instrText>
          </w:r>
          <w:r>
            <w:fldChar w:fldCharType="separate"/>
          </w:r>
          <w:r>
            <w:rPr>
              <w:rFonts w:hint="eastAsia"/>
            </w:rPr>
            <w:t>（三）消防宣传基地建设工程</w:t>
          </w:r>
          <w:r>
            <w:tab/>
          </w:r>
          <w:r>
            <w:fldChar w:fldCharType="begin"/>
          </w:r>
          <w:r>
            <w:instrText xml:space="preserve"> PAGEREF _Toc15824 \h </w:instrText>
          </w:r>
          <w:r>
            <w:fldChar w:fldCharType="separate"/>
          </w:r>
          <w:r>
            <w:t>61</w:t>
          </w:r>
          <w:r>
            <w:fldChar w:fldCharType="end"/>
          </w:r>
          <w:r>
            <w:fldChar w:fldCharType="end"/>
          </w:r>
        </w:p>
        <w:p>
          <w:pPr>
            <w:pStyle w:val="12"/>
            <w:tabs>
              <w:tab w:val="right" w:leader="dot" w:pos="8902"/>
            </w:tabs>
          </w:pPr>
          <w:r>
            <w:fldChar w:fldCharType="begin"/>
          </w:r>
          <w:r>
            <w:instrText xml:space="preserve"> HYPERLINK \l "_Toc32168" </w:instrText>
          </w:r>
          <w:r>
            <w:fldChar w:fldCharType="separate"/>
          </w:r>
          <w:r>
            <w:rPr>
              <w:rFonts w:hint="eastAsia"/>
            </w:rPr>
            <w:t>（四）消防规划编制</w:t>
          </w:r>
          <w:r>
            <w:tab/>
          </w:r>
          <w:r>
            <w:fldChar w:fldCharType="begin"/>
          </w:r>
          <w:r>
            <w:instrText xml:space="preserve"> PAGEREF _Toc32168 \h </w:instrText>
          </w:r>
          <w:r>
            <w:fldChar w:fldCharType="separate"/>
          </w:r>
          <w:r>
            <w:t>61</w:t>
          </w:r>
          <w:r>
            <w:fldChar w:fldCharType="end"/>
          </w:r>
          <w:r>
            <w:fldChar w:fldCharType="end"/>
          </w:r>
        </w:p>
        <w:p>
          <w:pPr>
            <w:pStyle w:val="12"/>
            <w:tabs>
              <w:tab w:val="right" w:leader="dot" w:pos="8902"/>
            </w:tabs>
          </w:pPr>
          <w:r>
            <w:fldChar w:fldCharType="begin"/>
          </w:r>
          <w:r>
            <w:instrText xml:space="preserve"> HYPERLINK \l "_Toc20662" </w:instrText>
          </w:r>
          <w:r>
            <w:fldChar w:fldCharType="separate"/>
          </w:r>
          <w:r>
            <w:rPr>
              <w:rFonts w:hint="eastAsia"/>
            </w:rPr>
            <w:t>（五）消防站及训练基地建设工程</w:t>
          </w:r>
          <w:r>
            <w:tab/>
          </w:r>
          <w:r>
            <w:fldChar w:fldCharType="begin"/>
          </w:r>
          <w:r>
            <w:instrText xml:space="preserve"> PAGEREF _Toc20662 \h </w:instrText>
          </w:r>
          <w:r>
            <w:fldChar w:fldCharType="separate"/>
          </w:r>
          <w:r>
            <w:t>62</w:t>
          </w:r>
          <w:r>
            <w:fldChar w:fldCharType="end"/>
          </w:r>
          <w:r>
            <w:fldChar w:fldCharType="end"/>
          </w:r>
        </w:p>
        <w:p>
          <w:pPr>
            <w:pStyle w:val="12"/>
            <w:tabs>
              <w:tab w:val="right" w:leader="dot" w:pos="8902"/>
            </w:tabs>
          </w:pPr>
          <w:r>
            <w:fldChar w:fldCharType="begin"/>
          </w:r>
          <w:r>
            <w:instrText xml:space="preserve"> HYPERLINK \l "_Toc2613" </w:instrText>
          </w:r>
          <w:r>
            <w:fldChar w:fldCharType="separate"/>
          </w:r>
          <w:r>
            <w:rPr>
              <w:rFonts w:hint="eastAsia"/>
            </w:rPr>
            <w:t>（六）市政消防栓建设工程</w:t>
          </w:r>
          <w:r>
            <w:tab/>
          </w:r>
          <w:r>
            <w:fldChar w:fldCharType="begin"/>
          </w:r>
          <w:r>
            <w:instrText xml:space="preserve"> PAGEREF _Toc2613 \h </w:instrText>
          </w:r>
          <w:r>
            <w:fldChar w:fldCharType="separate"/>
          </w:r>
          <w:r>
            <w:t>63</w:t>
          </w:r>
          <w:r>
            <w:fldChar w:fldCharType="end"/>
          </w:r>
          <w:r>
            <w:fldChar w:fldCharType="end"/>
          </w:r>
        </w:p>
        <w:p>
          <w:pPr>
            <w:pStyle w:val="12"/>
            <w:tabs>
              <w:tab w:val="right" w:leader="dot" w:pos="8902"/>
            </w:tabs>
          </w:pPr>
          <w:r>
            <w:fldChar w:fldCharType="begin"/>
          </w:r>
          <w:r>
            <w:instrText xml:space="preserve"> HYPERLINK \l "_Toc18031" </w:instrText>
          </w:r>
          <w:r>
            <w:fldChar w:fldCharType="separate"/>
          </w:r>
          <w:r>
            <w:rPr>
              <w:rFonts w:hint="eastAsia"/>
            </w:rPr>
            <w:t>（七）老旧小区消防基础设施改造工程</w:t>
          </w:r>
          <w:r>
            <w:tab/>
          </w:r>
          <w:r>
            <w:fldChar w:fldCharType="begin"/>
          </w:r>
          <w:r>
            <w:instrText xml:space="preserve"> PAGEREF _Toc18031 \h </w:instrText>
          </w:r>
          <w:r>
            <w:fldChar w:fldCharType="separate"/>
          </w:r>
          <w:r>
            <w:t>63</w:t>
          </w:r>
          <w:r>
            <w:fldChar w:fldCharType="end"/>
          </w:r>
          <w:r>
            <w:fldChar w:fldCharType="end"/>
          </w:r>
        </w:p>
        <w:p>
          <w:pPr>
            <w:pStyle w:val="12"/>
            <w:tabs>
              <w:tab w:val="right" w:leader="dot" w:pos="8902"/>
            </w:tabs>
          </w:pPr>
          <w:r>
            <w:fldChar w:fldCharType="begin"/>
          </w:r>
          <w:r>
            <w:instrText xml:space="preserve"> HYPERLINK \l "_Toc5517" </w:instrText>
          </w:r>
          <w:r>
            <w:fldChar w:fldCharType="separate"/>
          </w:r>
          <w:r>
            <w:rPr>
              <w:rFonts w:hint="eastAsia"/>
            </w:rPr>
            <w:t>（八）多种形式救援力量壮大工程</w:t>
          </w:r>
          <w:r>
            <w:tab/>
          </w:r>
          <w:r>
            <w:fldChar w:fldCharType="begin"/>
          </w:r>
          <w:r>
            <w:instrText xml:space="preserve"> PAGEREF _Toc5517 \h </w:instrText>
          </w:r>
          <w:r>
            <w:fldChar w:fldCharType="separate"/>
          </w:r>
          <w:r>
            <w:t>64</w:t>
          </w:r>
          <w:r>
            <w:fldChar w:fldCharType="end"/>
          </w:r>
          <w:r>
            <w:fldChar w:fldCharType="end"/>
          </w:r>
        </w:p>
        <w:p>
          <w:pPr>
            <w:pStyle w:val="12"/>
            <w:tabs>
              <w:tab w:val="right" w:leader="dot" w:pos="8902"/>
            </w:tabs>
          </w:pPr>
          <w:r>
            <w:fldChar w:fldCharType="begin"/>
          </w:r>
          <w:r>
            <w:instrText xml:space="preserve"> HYPERLINK \l "_Toc14256" </w:instrText>
          </w:r>
          <w:r>
            <w:fldChar w:fldCharType="separate"/>
          </w:r>
          <w:r>
            <w:rPr>
              <w:rFonts w:hint="eastAsia"/>
            </w:rPr>
            <w:t>（九）消防装备建设工程</w:t>
          </w:r>
          <w:r>
            <w:tab/>
          </w:r>
          <w:r>
            <w:fldChar w:fldCharType="begin"/>
          </w:r>
          <w:r>
            <w:instrText xml:space="preserve"> PAGEREF _Toc14256 \h </w:instrText>
          </w:r>
          <w:r>
            <w:fldChar w:fldCharType="separate"/>
          </w:r>
          <w:r>
            <w:t>64</w:t>
          </w:r>
          <w:r>
            <w:fldChar w:fldCharType="end"/>
          </w:r>
          <w:r>
            <w:fldChar w:fldCharType="end"/>
          </w:r>
        </w:p>
        <w:p>
          <w:pPr>
            <w:pStyle w:val="12"/>
            <w:tabs>
              <w:tab w:val="right" w:leader="dot" w:pos="8902"/>
            </w:tabs>
          </w:pPr>
          <w:r>
            <w:fldChar w:fldCharType="begin"/>
          </w:r>
          <w:r>
            <w:instrText xml:space="preserve"> HYPERLINK \l "_Toc31283" </w:instrText>
          </w:r>
          <w:r>
            <w:fldChar w:fldCharType="separate"/>
          </w:r>
          <w:r>
            <w:rPr>
              <w:rFonts w:hint="eastAsia"/>
            </w:rPr>
            <w:t>（十）装备物资储备工程</w:t>
          </w:r>
          <w:r>
            <w:tab/>
          </w:r>
          <w:r>
            <w:fldChar w:fldCharType="begin"/>
          </w:r>
          <w:r>
            <w:instrText xml:space="preserve"> PAGEREF _Toc31283 \h </w:instrText>
          </w:r>
          <w:r>
            <w:fldChar w:fldCharType="separate"/>
          </w:r>
          <w:r>
            <w:t>66</w:t>
          </w:r>
          <w:r>
            <w:fldChar w:fldCharType="end"/>
          </w:r>
          <w:r>
            <w:fldChar w:fldCharType="end"/>
          </w:r>
        </w:p>
        <w:p>
          <w:pPr>
            <w:pStyle w:val="12"/>
            <w:tabs>
              <w:tab w:val="right" w:leader="dot" w:pos="8902"/>
            </w:tabs>
          </w:pPr>
          <w:r>
            <w:fldChar w:fldCharType="begin"/>
          </w:r>
          <w:r>
            <w:instrText xml:space="preserve"> HYPERLINK \l "_Toc18918" </w:instrText>
          </w:r>
          <w:r>
            <w:fldChar w:fldCharType="separate"/>
          </w:r>
          <w:r>
            <w:rPr>
              <w:rFonts w:hint="eastAsia"/>
            </w:rPr>
            <w:t>（十一）战时通信保障工程</w:t>
          </w:r>
          <w:r>
            <w:tab/>
          </w:r>
          <w:r>
            <w:fldChar w:fldCharType="begin"/>
          </w:r>
          <w:r>
            <w:instrText xml:space="preserve"> PAGEREF _Toc18918 \h </w:instrText>
          </w:r>
          <w:r>
            <w:fldChar w:fldCharType="separate"/>
          </w:r>
          <w:r>
            <w:t>67</w:t>
          </w:r>
          <w:r>
            <w:fldChar w:fldCharType="end"/>
          </w:r>
          <w:r>
            <w:fldChar w:fldCharType="end"/>
          </w:r>
        </w:p>
        <w:p>
          <w:pPr>
            <w:pStyle w:val="12"/>
            <w:tabs>
              <w:tab w:val="right" w:leader="dot" w:pos="8902"/>
            </w:tabs>
          </w:pPr>
          <w:r>
            <w:fldChar w:fldCharType="begin"/>
          </w:r>
          <w:r>
            <w:instrText xml:space="preserve"> HYPERLINK \l "_Toc2633" </w:instrText>
          </w:r>
          <w:r>
            <w:fldChar w:fldCharType="separate"/>
          </w:r>
          <w:r>
            <w:rPr>
              <w:rFonts w:hint="eastAsia"/>
            </w:rPr>
            <w:t>（十二）数字消防工程</w:t>
          </w:r>
          <w:r>
            <w:tab/>
          </w:r>
          <w:r>
            <w:fldChar w:fldCharType="begin"/>
          </w:r>
          <w:r>
            <w:instrText xml:space="preserve"> PAGEREF _Toc2633 \h </w:instrText>
          </w:r>
          <w:r>
            <w:fldChar w:fldCharType="separate"/>
          </w:r>
          <w:r>
            <w:t>68</w:t>
          </w:r>
          <w:r>
            <w:fldChar w:fldCharType="end"/>
          </w:r>
          <w:r>
            <w:fldChar w:fldCharType="end"/>
          </w:r>
        </w:p>
        <w:p>
          <w:pPr>
            <w:pStyle w:val="12"/>
            <w:tabs>
              <w:tab w:val="right" w:leader="dot" w:pos="8902"/>
            </w:tabs>
          </w:pPr>
          <w:r>
            <w:fldChar w:fldCharType="begin"/>
          </w:r>
          <w:r>
            <w:instrText xml:space="preserve"> HYPERLINK \l "_Toc6937" </w:instrText>
          </w:r>
          <w:r>
            <w:fldChar w:fldCharType="separate"/>
          </w:r>
          <w:r>
            <w:rPr>
              <w:rFonts w:hint="eastAsia"/>
            </w:rPr>
            <w:t>（十三）物联网监控系统工程</w:t>
          </w:r>
          <w:r>
            <w:tab/>
          </w:r>
          <w:r>
            <w:fldChar w:fldCharType="begin"/>
          </w:r>
          <w:r>
            <w:instrText xml:space="preserve"> PAGEREF _Toc6937 \h </w:instrText>
          </w:r>
          <w:r>
            <w:fldChar w:fldCharType="separate"/>
          </w:r>
          <w:r>
            <w:t>69</w:t>
          </w:r>
          <w:r>
            <w:fldChar w:fldCharType="end"/>
          </w:r>
          <w:r>
            <w:fldChar w:fldCharType="end"/>
          </w:r>
        </w:p>
        <w:p>
          <w:pPr>
            <w:pStyle w:val="11"/>
            <w:tabs>
              <w:tab w:val="right" w:leader="dot" w:pos="8902"/>
            </w:tabs>
          </w:pPr>
          <w:r>
            <w:fldChar w:fldCharType="begin"/>
          </w:r>
          <w:r>
            <w:instrText xml:space="preserve"> HYPERLINK \l "_Toc4464" </w:instrText>
          </w:r>
          <w:r>
            <w:fldChar w:fldCharType="separate"/>
          </w:r>
          <w:r>
            <w:rPr>
              <w:rFonts w:hint="eastAsia" w:ascii="方正小标宋_GBK" w:hAnsi="Calibri" w:eastAsia="方正小标宋_GBK"/>
              <w:szCs w:val="36"/>
            </w:rPr>
            <w:t>第十章   保障措施</w:t>
          </w:r>
          <w:r>
            <w:tab/>
          </w:r>
          <w:r>
            <w:fldChar w:fldCharType="begin"/>
          </w:r>
          <w:r>
            <w:instrText xml:space="preserve"> PAGEREF _Toc4464 \h </w:instrText>
          </w:r>
          <w:r>
            <w:fldChar w:fldCharType="separate"/>
          </w:r>
          <w:r>
            <w:t>70</w:t>
          </w:r>
          <w:r>
            <w:fldChar w:fldCharType="end"/>
          </w:r>
          <w:r>
            <w:fldChar w:fldCharType="end"/>
          </w:r>
        </w:p>
        <w:p>
          <w:pPr>
            <w:pStyle w:val="12"/>
            <w:tabs>
              <w:tab w:val="right" w:leader="dot" w:pos="8902"/>
            </w:tabs>
          </w:pPr>
          <w:r>
            <w:fldChar w:fldCharType="begin"/>
          </w:r>
          <w:r>
            <w:instrText xml:space="preserve"> HYPERLINK \l "_Toc6149" </w:instrText>
          </w:r>
          <w:r>
            <w:fldChar w:fldCharType="separate"/>
          </w:r>
          <w:r>
            <w:rPr>
              <w:rFonts w:hint="eastAsia"/>
            </w:rPr>
            <w:t>（一）坚持政府主导，强化责任落实</w:t>
          </w:r>
          <w:r>
            <w:tab/>
          </w:r>
          <w:r>
            <w:fldChar w:fldCharType="begin"/>
          </w:r>
          <w:r>
            <w:instrText xml:space="preserve"> PAGEREF _Toc6149 \h </w:instrText>
          </w:r>
          <w:r>
            <w:fldChar w:fldCharType="separate"/>
          </w:r>
          <w:r>
            <w:t>70</w:t>
          </w:r>
          <w:r>
            <w:fldChar w:fldCharType="end"/>
          </w:r>
          <w:r>
            <w:fldChar w:fldCharType="end"/>
          </w:r>
        </w:p>
        <w:p>
          <w:pPr>
            <w:pStyle w:val="12"/>
            <w:tabs>
              <w:tab w:val="right" w:leader="dot" w:pos="8902"/>
            </w:tabs>
          </w:pPr>
          <w:r>
            <w:fldChar w:fldCharType="begin"/>
          </w:r>
          <w:r>
            <w:instrText xml:space="preserve"> HYPERLINK \l "_Toc23471" </w:instrText>
          </w:r>
          <w:r>
            <w:fldChar w:fldCharType="separate"/>
          </w:r>
          <w:r>
            <w:rPr>
              <w:rFonts w:hint="eastAsia"/>
            </w:rPr>
            <w:t>（二）加大政策扶持，科学统筹实施</w:t>
          </w:r>
          <w:r>
            <w:tab/>
          </w:r>
          <w:r>
            <w:fldChar w:fldCharType="begin"/>
          </w:r>
          <w:r>
            <w:instrText xml:space="preserve"> PAGEREF _Toc23471 \h </w:instrText>
          </w:r>
          <w:r>
            <w:fldChar w:fldCharType="separate"/>
          </w:r>
          <w:r>
            <w:t>70</w:t>
          </w:r>
          <w:r>
            <w:fldChar w:fldCharType="end"/>
          </w:r>
          <w:r>
            <w:fldChar w:fldCharType="end"/>
          </w:r>
        </w:p>
        <w:p>
          <w:pPr>
            <w:pStyle w:val="12"/>
            <w:tabs>
              <w:tab w:val="right" w:leader="dot" w:pos="8902"/>
            </w:tabs>
          </w:pPr>
          <w:r>
            <w:fldChar w:fldCharType="begin"/>
          </w:r>
          <w:r>
            <w:instrText xml:space="preserve"> HYPERLINK \l "_Toc3554" </w:instrText>
          </w:r>
          <w:r>
            <w:fldChar w:fldCharType="separate"/>
          </w:r>
          <w:r>
            <w:rPr>
              <w:rFonts w:hint="eastAsia"/>
            </w:rPr>
            <w:t>（三）健全实施机制，实行跟踪问效</w:t>
          </w:r>
          <w:r>
            <w:tab/>
          </w:r>
          <w:r>
            <w:fldChar w:fldCharType="begin"/>
          </w:r>
          <w:r>
            <w:instrText xml:space="preserve"> PAGEREF _Toc3554 \h </w:instrText>
          </w:r>
          <w:r>
            <w:fldChar w:fldCharType="separate"/>
          </w:r>
          <w:r>
            <w:t>70</w:t>
          </w:r>
          <w:r>
            <w:fldChar w:fldCharType="end"/>
          </w:r>
          <w:r>
            <w:fldChar w:fldCharType="end"/>
          </w:r>
        </w:p>
        <w:p>
          <w:pPr>
            <w:pStyle w:val="12"/>
            <w:tabs>
              <w:tab w:val="right" w:leader="dot" w:pos="8902"/>
            </w:tabs>
          </w:pPr>
          <w:r>
            <w:fldChar w:fldCharType="begin"/>
          </w:r>
          <w:r>
            <w:instrText xml:space="preserve"> HYPERLINK \l "_Toc13669" </w:instrText>
          </w:r>
          <w:r>
            <w:fldChar w:fldCharType="separate"/>
          </w:r>
          <w:r>
            <w:rPr>
              <w:rFonts w:hint="eastAsia"/>
            </w:rPr>
            <w:t>（四）广泛宣传发动，营造实施氛围</w:t>
          </w:r>
          <w:r>
            <w:tab/>
          </w:r>
          <w:r>
            <w:fldChar w:fldCharType="begin"/>
          </w:r>
          <w:r>
            <w:instrText xml:space="preserve"> PAGEREF _Toc13669 \h </w:instrText>
          </w:r>
          <w:r>
            <w:fldChar w:fldCharType="separate"/>
          </w:r>
          <w:r>
            <w:t>71</w:t>
          </w:r>
          <w:r>
            <w:fldChar w:fldCharType="end"/>
          </w:r>
          <w:r>
            <w:fldChar w:fldCharType="end"/>
          </w:r>
        </w:p>
        <w:p>
          <w:pPr>
            <w:pStyle w:val="2"/>
            <w:rPr>
              <w:rFonts w:ascii="宋体" w:hAnsi="宋体"/>
              <w:b/>
              <w:color w:val="000000" w:themeColor="text1"/>
              <w:kern w:val="2"/>
              <w:sz w:val="21"/>
              <w:szCs w:val="21"/>
              <w14:textFill>
                <w14:solidFill>
                  <w14:schemeClr w14:val="tx1"/>
                </w14:solidFill>
              </w14:textFill>
            </w:rPr>
          </w:pPr>
          <w:r>
            <w:rPr>
              <w:color w:val="000000" w:themeColor="text1"/>
              <w:szCs w:val="22"/>
              <w14:textFill>
                <w14:solidFill>
                  <w14:schemeClr w14:val="tx1"/>
                </w14:solidFill>
              </w14:textFill>
            </w:rPr>
            <w:fldChar w:fldCharType="end"/>
          </w:r>
        </w:p>
      </w:sdtContent>
    </w:sdt>
    <w:p>
      <w:pPr>
        <w:pStyle w:val="2"/>
        <w:rPr>
          <w:rFonts w:ascii="宋体" w:hAnsi="宋体"/>
          <w:b/>
          <w:color w:val="000000" w:themeColor="text1"/>
          <w:kern w:val="2"/>
          <w:sz w:val="21"/>
          <w:szCs w:val="21"/>
          <w14:textFill>
            <w14:solidFill>
              <w14:schemeClr w14:val="tx1"/>
            </w14:solidFill>
          </w14:textFill>
        </w:rPr>
      </w:pPr>
    </w:p>
    <w:p>
      <w:pPr>
        <w:pStyle w:val="2"/>
        <w:rPr>
          <w:rFonts w:ascii="宋体" w:hAnsi="宋体"/>
          <w:b/>
          <w:color w:val="000000" w:themeColor="text1"/>
          <w:kern w:val="2"/>
          <w:sz w:val="21"/>
          <w:szCs w:val="21"/>
          <w14:textFill>
            <w14:solidFill>
              <w14:schemeClr w14:val="tx1"/>
            </w14:solidFill>
          </w14:textFill>
        </w:rPr>
        <w:sectPr>
          <w:footerReference r:id="rId4" w:type="default"/>
          <w:pgSz w:w="11906" w:h="16838"/>
          <w:pgMar w:top="1701" w:right="1417" w:bottom="1440" w:left="1587" w:header="851" w:footer="992" w:gutter="0"/>
          <w:pgNumType w:start="1"/>
          <w:cols w:space="425" w:num="1"/>
          <w:docGrid w:type="lines" w:linePitch="312" w:charSpace="0"/>
        </w:sectPr>
      </w:pPr>
    </w:p>
    <w:p>
      <w:pPr>
        <w:pStyle w:val="3"/>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bookmarkStart w:id="4" w:name="_Toc14071"/>
      <w:r>
        <w:rPr>
          <w:rFonts w:hint="eastAsia" w:ascii="方正小标宋_GBK" w:hAnsi="Calibri" w:eastAsia="方正小标宋_GBK"/>
          <w:b w:val="0"/>
          <w:color w:val="000000" w:themeColor="text1"/>
          <w:sz w:val="36"/>
          <w:szCs w:val="36"/>
          <w14:textFill>
            <w14:solidFill>
              <w14:schemeClr w14:val="tx1"/>
            </w14:solidFill>
          </w14:textFill>
        </w:rPr>
        <w:t>第一章</w:t>
      </w:r>
      <w:bookmarkEnd w:id="0"/>
      <w:r>
        <w:rPr>
          <w:rFonts w:hint="eastAsia" w:ascii="方正小标宋_GBK" w:hAnsi="Calibri" w:eastAsia="方正小标宋_GBK"/>
          <w:b w:val="0"/>
          <w:color w:val="000000" w:themeColor="text1"/>
          <w:sz w:val="36"/>
          <w:szCs w:val="36"/>
          <w14:textFill>
            <w14:solidFill>
              <w14:schemeClr w14:val="tx1"/>
            </w14:solidFill>
          </w14:textFill>
        </w:rPr>
        <w:t xml:space="preserve">   形势分析</w:t>
      </w:r>
      <w:bookmarkEnd w:id="4"/>
    </w:p>
    <w:p>
      <w:pPr>
        <w:pStyle w:val="4"/>
        <w:rPr>
          <w:color w:val="000000" w:themeColor="text1"/>
          <w14:textFill>
            <w14:solidFill>
              <w14:schemeClr w14:val="tx1"/>
            </w14:solidFill>
          </w14:textFill>
        </w:rPr>
      </w:pPr>
      <w:bookmarkStart w:id="5" w:name="_Toc983"/>
      <w:r>
        <w:rPr>
          <w:color w:val="000000" w:themeColor="text1"/>
          <w14:textFill>
            <w14:solidFill>
              <w14:schemeClr w14:val="tx1"/>
            </w14:solidFill>
          </w14:textFill>
        </w:rPr>
        <w:t>（一）取得的新进展</w:t>
      </w:r>
      <w:bookmarkEnd w:id="5"/>
    </w:p>
    <w:p>
      <w:pPr>
        <w:spacing w:line="540" w:lineRule="exact"/>
        <w:ind w:firstLine="640"/>
        <w:rPr>
          <w:rFonts w:eastAsia="仿宋"/>
          <w:color w:val="000000" w:themeColor="text1"/>
          <w:sz w:val="32"/>
          <w:szCs w:val="32"/>
          <w:highlight w:val="yellow"/>
          <w14:textFill>
            <w14:solidFill>
              <w14:schemeClr w14:val="tx1"/>
            </w14:solidFill>
          </w14:textFill>
        </w:rPr>
      </w:pPr>
      <w:r>
        <w:rPr>
          <w:rFonts w:hint="eastAsia" w:eastAsia="仿宋"/>
          <w:color w:val="000000" w:themeColor="text1"/>
          <w:sz w:val="32"/>
          <w:szCs w:val="32"/>
          <w14:textFill>
            <w14:solidFill>
              <w14:schemeClr w14:val="tx1"/>
            </w14:solidFill>
          </w14:textFill>
        </w:rPr>
        <w:t>“十三五”期间，全市各级党委、政府，各部门和单位坚持安全发展理念，牢固树立消防安全底线思维和红线意识，强化消防安全责任落实，全市消防事业取得了长足发展，社会消防安全环境明显改善，抗御火灾能力和综合应急救援能力明显增强，为全市社会和谐稳定和经济发展提供了有力的消防安全保障。</w:t>
      </w:r>
      <w:r>
        <w:rPr>
          <w:rFonts w:eastAsia="方正仿宋_GBK"/>
          <w:color w:val="000000" w:themeColor="text1"/>
          <w:sz w:val="32"/>
          <w:szCs w:val="32"/>
          <w14:textFill>
            <w14:solidFill>
              <w14:schemeClr w14:val="tx1"/>
            </w14:solidFill>
          </w14:textFill>
        </w:rPr>
        <w:t>“</w:t>
      </w:r>
      <w:r>
        <w:rPr>
          <w:rFonts w:hint="eastAsia" w:eastAsia="仿宋"/>
          <w:color w:val="000000" w:themeColor="text1"/>
          <w:sz w:val="32"/>
          <w:szCs w:val="32"/>
          <w14:textFill>
            <w14:solidFill>
              <w14:schemeClr w14:val="tx1"/>
            </w14:solidFill>
          </w14:textFill>
        </w:rPr>
        <w:t>十三五”期间，银川市共发生火灾9606起，死亡14人，受伤4人，直接财产损失0.79亿元，</w:t>
      </w:r>
      <w:r>
        <w:rPr>
          <w:rFonts w:eastAsia="仿宋"/>
          <w:color w:val="000000" w:themeColor="text1"/>
          <w:sz w:val="32"/>
          <w:szCs w:val="32"/>
          <w14:textFill>
            <w14:solidFill>
              <w14:schemeClr w14:val="tx1"/>
            </w14:solidFill>
          </w14:textFill>
        </w:rPr>
        <w:t>未发生</w:t>
      </w:r>
      <w:r>
        <w:rPr>
          <w:rFonts w:hint="eastAsia" w:eastAsia="仿宋"/>
          <w:color w:val="000000" w:themeColor="text1"/>
          <w:sz w:val="32"/>
          <w:szCs w:val="32"/>
          <w14:textFill>
            <w14:solidFill>
              <w14:schemeClr w14:val="tx1"/>
            </w14:solidFill>
          </w14:textFill>
        </w:rPr>
        <w:t>重</w:t>
      </w:r>
      <w:r>
        <w:rPr>
          <w:rFonts w:eastAsia="仿宋"/>
          <w:color w:val="000000" w:themeColor="text1"/>
          <w:sz w:val="32"/>
          <w:szCs w:val="32"/>
          <w14:textFill>
            <w14:solidFill>
              <w14:schemeClr w14:val="tx1"/>
            </w14:solidFill>
          </w14:textFill>
        </w:rPr>
        <w:t>大</w:t>
      </w:r>
      <w:r>
        <w:rPr>
          <w:rFonts w:hint="eastAsia" w:eastAsia="仿宋"/>
          <w:color w:val="000000" w:themeColor="text1"/>
          <w:sz w:val="32"/>
          <w:szCs w:val="32"/>
          <w14:textFill>
            <w14:solidFill>
              <w14:schemeClr w14:val="tx1"/>
            </w14:solidFill>
          </w14:textFill>
        </w:rPr>
        <w:t>火灾事故，总体消防安全形势进一步向好。</w:t>
      </w:r>
      <w:bookmarkStart w:id="6" w:name="_Toc31659"/>
    </w:p>
    <w:p>
      <w:pPr>
        <w:spacing w:line="560" w:lineRule="exact"/>
        <w:ind w:firstLine="643" w:firstLineChars="200"/>
        <w:rPr>
          <w:rFonts w:ascii="仿宋_GB2312" w:eastAsia="仿宋_GB2312"/>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消防安全责任</w:t>
      </w:r>
      <w:bookmarkEnd w:id="6"/>
      <w:r>
        <w:rPr>
          <w:rFonts w:hint="eastAsia" w:eastAsia="仿宋"/>
          <w:b/>
          <w:bCs/>
          <w:color w:val="000000" w:themeColor="text1"/>
          <w:sz w:val="32"/>
          <w:szCs w:val="32"/>
          <w14:textFill>
            <w14:solidFill>
              <w14:schemeClr w14:val="tx1"/>
            </w14:solidFill>
          </w14:textFill>
        </w:rPr>
        <w:t>进一步落实。</w:t>
      </w:r>
      <w:r>
        <w:rPr>
          <w:rFonts w:hint="eastAsia" w:eastAsia="仿宋"/>
          <w:color w:val="000000" w:themeColor="text1"/>
          <w:sz w:val="32"/>
          <w:szCs w:val="32"/>
          <w14:textFill>
            <w14:solidFill>
              <w14:schemeClr w14:val="tx1"/>
            </w14:solidFill>
          </w14:textFill>
        </w:rPr>
        <w:t>“十三五”期间，</w:t>
      </w:r>
      <w:r>
        <w:rPr>
          <w:rFonts w:hint="eastAsia" w:eastAsia="仿宋_GB2312"/>
          <w:color w:val="000000" w:themeColor="text1"/>
          <w:sz w:val="32"/>
          <w:szCs w:val="32"/>
          <w14:textFill>
            <w14:solidFill>
              <w14:schemeClr w14:val="tx1"/>
            </w14:solidFill>
          </w14:textFill>
        </w:rPr>
        <w:t>市委</w:t>
      </w:r>
      <w:r>
        <w:rPr>
          <w:rFonts w:hint="eastAsia" w:eastAsia="仿宋_GB2312"/>
          <w:color w:val="000000" w:themeColor="text1"/>
          <w:sz w:val="32"/>
          <w:szCs w:val="32"/>
          <w:lang w:eastAsia="zh-CN"/>
          <w14:textFill>
            <w14:solidFill>
              <w14:schemeClr w14:val="tx1"/>
            </w14:solidFill>
          </w14:textFill>
        </w:rPr>
        <w:t>市</w:t>
      </w:r>
      <w:bookmarkStart w:id="211" w:name="_GoBack"/>
      <w:bookmarkEnd w:id="211"/>
      <w:r>
        <w:rPr>
          <w:rFonts w:hint="eastAsia" w:eastAsia="仿宋_GB2312"/>
          <w:color w:val="000000" w:themeColor="text1"/>
          <w:sz w:val="32"/>
          <w:szCs w:val="32"/>
          <w14:textFill>
            <w14:solidFill>
              <w14:schemeClr w14:val="tx1"/>
            </w14:solidFill>
          </w14:textFill>
        </w:rPr>
        <w:t>政府高度重视消防工作，将消防工作纳入绩效考评，落实定期研究部署消防工作制度和约谈、考评、督导、奖惩等消防工作机制。出台消防救援队伍保障机制和消防执法改革实施意见，实体化运行消防安全委员会，固化行业部门联席会议、联合检查、信息共享机制，持续推动公安派出所履行消防监管责任。</w:t>
      </w:r>
      <w:r>
        <w:rPr>
          <w:rFonts w:hint="eastAsia" w:ascii="仿宋_GB2312" w:eastAsia="仿宋_GB2312"/>
          <w:color w:val="000000" w:themeColor="text1"/>
          <w:sz w:val="32"/>
          <w:szCs w:val="32"/>
          <w14:textFill>
            <w14:solidFill>
              <w14:schemeClr w14:val="tx1"/>
            </w14:solidFill>
          </w14:textFill>
        </w:rPr>
        <w:t>严格按照关于开展火灾延伸调查强化追责整改的指导意见。对符合条件的火灾事故开展延伸调查。</w:t>
      </w:r>
    </w:p>
    <w:p>
      <w:pPr>
        <w:spacing w:line="560" w:lineRule="exact"/>
        <w:ind w:firstLine="643" w:firstLineChars="200"/>
        <w:rPr>
          <w:rFonts w:eastAsia="仿宋"/>
          <w:color w:val="000000" w:themeColor="text1"/>
          <w:sz w:val="32"/>
          <w:szCs w:val="32"/>
          <w14:textFill>
            <w14:solidFill>
              <w14:schemeClr w14:val="tx1"/>
            </w14:solidFill>
          </w14:textFill>
        </w:rPr>
      </w:pPr>
      <w:bookmarkStart w:id="7" w:name="_Toc3569"/>
      <w:bookmarkStart w:id="8" w:name="_Toc26833"/>
      <w:bookmarkStart w:id="9" w:name="_Toc19069"/>
      <w:bookmarkStart w:id="10" w:name="_Toc17601"/>
      <w:bookmarkStart w:id="11" w:name="_Toc10342"/>
      <w:bookmarkStart w:id="12" w:name="_Toc27887"/>
      <w:bookmarkStart w:id="13" w:name="_Toc72607670"/>
      <w:bookmarkStart w:id="14" w:name="_Toc5299"/>
      <w:bookmarkStart w:id="15" w:name="_Toc26617"/>
      <w:r>
        <w:rPr>
          <w:rFonts w:hint="eastAsia" w:eastAsia="仿宋"/>
          <w:b/>
          <w:bCs/>
          <w:color w:val="000000" w:themeColor="text1"/>
          <w:sz w:val="32"/>
          <w:szCs w:val="32"/>
          <w14:textFill>
            <w14:solidFill>
              <w14:schemeClr w14:val="tx1"/>
            </w14:solidFill>
          </w14:textFill>
        </w:rPr>
        <w:t>社会火灾防控能力全面提升</w:t>
      </w:r>
      <w:bookmarkEnd w:id="7"/>
      <w:bookmarkEnd w:id="8"/>
      <w:bookmarkEnd w:id="9"/>
      <w:bookmarkEnd w:id="10"/>
      <w:bookmarkEnd w:id="11"/>
      <w:bookmarkEnd w:id="12"/>
      <w:bookmarkEnd w:id="13"/>
      <w:bookmarkEnd w:id="14"/>
      <w:bookmarkEnd w:id="15"/>
      <w:r>
        <w:rPr>
          <w:rFonts w:hint="eastAsia" w:eastAsia="仿宋"/>
          <w:b/>
          <w:bCs/>
          <w:color w:val="000000" w:themeColor="text1"/>
          <w:sz w:val="32"/>
          <w:szCs w:val="32"/>
          <w14:textFill>
            <w14:solidFill>
              <w14:schemeClr w14:val="tx1"/>
            </w14:solidFill>
          </w14:textFill>
        </w:rPr>
        <w:t>。</w:t>
      </w:r>
      <w:r>
        <w:rPr>
          <w:rFonts w:hint="eastAsia" w:eastAsia="仿宋"/>
          <w:color w:val="000000" w:themeColor="text1"/>
          <w:sz w:val="32"/>
          <w:szCs w:val="32"/>
          <w14:textFill>
            <w14:solidFill>
              <w14:schemeClr w14:val="tx1"/>
            </w14:solidFill>
          </w14:textFill>
        </w:rPr>
        <w:t>“十三五”期间，</w:t>
      </w:r>
      <w:r>
        <w:rPr>
          <w:rFonts w:hint="eastAsia" w:eastAsia="仿宋_GB2312"/>
          <w:color w:val="000000" w:themeColor="text1"/>
          <w:sz w:val="32"/>
          <w:szCs w:val="32"/>
          <w14:textFill>
            <w14:solidFill>
              <w14:schemeClr w14:val="tx1"/>
            </w14:solidFill>
          </w14:textFill>
        </w:rPr>
        <w:t>全市</w:t>
      </w:r>
      <w:r>
        <w:rPr>
          <w:rFonts w:eastAsia="仿宋_GB2312"/>
          <w:color w:val="000000" w:themeColor="text1"/>
          <w:sz w:val="32"/>
          <w:szCs w:val="32"/>
          <w14:textFill>
            <w14:solidFill>
              <w14:schemeClr w14:val="tx1"/>
            </w14:solidFill>
          </w14:textFill>
        </w:rPr>
        <w:t>消防救援队伍</w:t>
      </w:r>
      <w:r>
        <w:rPr>
          <w:rFonts w:hint="eastAsia" w:eastAsia="仿宋_GB2312"/>
          <w:color w:val="000000" w:themeColor="text1"/>
          <w:sz w:val="32"/>
          <w:szCs w:val="32"/>
          <w14:textFill>
            <w14:solidFill>
              <w14:schemeClr w14:val="tx1"/>
            </w14:solidFill>
          </w14:textFill>
        </w:rPr>
        <w:t>不断健全风险防范化解机制，紧盯大型商业综合体、危化品企业、高层地下建筑等高风险场所区域，分类施策、精准治理。深入开展“打通生命通道”等专项行动，大力整治农村消防突出问题，有力维护消防安全形势持续平稳。市消防救援、应急</w:t>
      </w:r>
      <w:r>
        <w:rPr>
          <w:rFonts w:eastAsia="仿宋_GB2312"/>
          <w:color w:val="000000" w:themeColor="text1"/>
          <w:sz w:val="32"/>
          <w:szCs w:val="32"/>
          <w14:textFill>
            <w14:solidFill>
              <w14:schemeClr w14:val="tx1"/>
            </w14:solidFill>
          </w14:textFill>
        </w:rPr>
        <w:t>管理、教育、民政、</w:t>
      </w:r>
      <w:r>
        <w:rPr>
          <w:rFonts w:hint="eastAsia" w:eastAsia="仿宋_GB2312"/>
          <w:color w:val="000000" w:themeColor="text1"/>
          <w:sz w:val="32"/>
          <w:szCs w:val="32"/>
          <w14:textFill>
            <w14:solidFill>
              <w14:schemeClr w14:val="tx1"/>
            </w14:solidFill>
          </w14:textFill>
        </w:rPr>
        <w:t>卫生、商务、文旅等多个部门组织召开行业消防安全标准化管理现场会40余次，检查社会单位或场所139851家（次），督促整改火灾隐患138161处，</w:t>
      </w:r>
      <w:r>
        <w:rPr>
          <w:rFonts w:hint="eastAsia" w:eastAsia="仿宋"/>
          <w:color w:val="000000" w:themeColor="text1"/>
          <w:sz w:val="32"/>
          <w:szCs w:val="32"/>
          <w14:textFill>
            <w14:solidFill>
              <w14:schemeClr w14:val="tx1"/>
            </w14:solidFill>
          </w14:textFill>
        </w:rPr>
        <w:t>查封关停980家。完善各类灭火作战预案、勤务保卫方案2643份；按照1，3，5，10灭火响应机制，制定大型活动场所勤务保卫预案34份；分行业分类别打造231家消防管理示范单位，完成302家高层公共建筑、火灾高危单位等接入物联网消防远程监控系统，推动全市1505个微型消防站提质增效，并定期开展实战拉动，不断提升行业和社会单位的消防安全标准化管理水平。</w:t>
      </w:r>
    </w:p>
    <w:p>
      <w:pPr>
        <w:spacing w:line="60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bookmarkStart w:id="16" w:name="_Toc10845"/>
      <w:r>
        <w:rPr>
          <w:rFonts w:hint="eastAsia" w:eastAsia="仿宋"/>
          <w:b/>
          <w:bCs/>
          <w:color w:val="000000" w:themeColor="text1"/>
          <w:sz w:val="32"/>
          <w:szCs w:val="32"/>
          <w14:textFill>
            <w14:solidFill>
              <w14:schemeClr w14:val="tx1"/>
            </w14:solidFill>
          </w14:textFill>
        </w:rPr>
        <w:t>消防队伍正规化建设逐年</w:t>
      </w:r>
      <w:bookmarkEnd w:id="16"/>
      <w:r>
        <w:rPr>
          <w:rFonts w:hint="eastAsia" w:eastAsia="仿宋"/>
          <w:b/>
          <w:bCs/>
          <w:color w:val="000000" w:themeColor="text1"/>
          <w:sz w:val="32"/>
          <w:szCs w:val="32"/>
          <w14:textFill>
            <w14:solidFill>
              <w14:schemeClr w14:val="tx1"/>
            </w14:solidFill>
          </w14:textFill>
        </w:rPr>
        <w:t>提升。</w:t>
      </w:r>
      <w:r>
        <w:rPr>
          <w:rFonts w:hint="eastAsia" w:eastAsia="仿宋"/>
          <w:color w:val="000000" w:themeColor="text1"/>
          <w:sz w:val="32"/>
          <w:szCs w:val="32"/>
          <w14:textFill>
            <w14:solidFill>
              <w14:schemeClr w14:val="tx1"/>
            </w14:solidFill>
          </w14:textFill>
        </w:rPr>
        <w:t>2018年11月9日</w:t>
      </w:r>
      <w:r>
        <w:rPr>
          <w:rFonts w:hint="eastAsia" w:ascii="仿宋_GB2312" w:hAnsi="宋体" w:eastAsia="仿宋_GB2312" w:cs="仿宋_GB2312"/>
          <w:color w:val="000000" w:themeColor="text1"/>
          <w:sz w:val="32"/>
          <w:szCs w:val="32"/>
          <w14:textFill>
            <w14:solidFill>
              <w14:schemeClr w14:val="tx1"/>
            </w14:solidFill>
          </w14:textFill>
        </w:rPr>
        <w:t>，习近平总书记亲自为国家综合性消防救援队伍授旗并致训词，原公安消防队伍整建制转隶到应急管理部，组建成国家综合性消防救援队伍。习近平总书记明确标定了国家综合性消防救援队伍作为应急救援主力军和国家队的定位，赋予了防范化解重大安全风险、应对处置各类灾害事故新的职责使命。全市</w:t>
      </w:r>
      <w:r>
        <w:rPr>
          <w:rFonts w:ascii="仿宋_GB2312" w:hAnsi="宋体" w:eastAsia="仿宋_GB2312" w:cs="仿宋_GB2312"/>
          <w:color w:val="000000" w:themeColor="text1"/>
          <w:sz w:val="32"/>
          <w:szCs w:val="32"/>
          <w14:textFill>
            <w14:solidFill>
              <w14:schemeClr w14:val="tx1"/>
            </w14:solidFill>
          </w14:textFill>
        </w:rPr>
        <w:t>消防救援队伍</w:t>
      </w:r>
      <w:r>
        <w:rPr>
          <w:rFonts w:hint="eastAsia" w:ascii="仿宋_GB2312" w:hAnsi="宋体" w:eastAsia="仿宋_GB2312" w:cs="仿宋_GB2312"/>
          <w:color w:val="000000" w:themeColor="text1"/>
          <w:sz w:val="32"/>
          <w:szCs w:val="32"/>
          <w14:textFill>
            <w14:solidFill>
              <w14:schemeClr w14:val="tx1"/>
            </w14:solidFill>
          </w14:textFill>
        </w:rPr>
        <w:t>按照“两严两准”建队标准，推动队伍正规化达标建设，规范日常管理秩序，保持队伍高度集中稳定。突出政治标准，坚持党管干部原则，坚决贯彻新时期“好干部”标准，营造了公开评价、公平竞争、公正使用干部的良好氛围，靠素质立身、凭实绩进步的导向树立更加牢固。100%完成了长期滞留离退休人员移交安置和转业复员干部离队报到工作，圆满完成了国家综合性消防救援队伍干部身份转改、落编定位等工作。</w:t>
      </w:r>
    </w:p>
    <w:p>
      <w:pPr>
        <w:adjustRightInd w:val="0"/>
        <w:snapToGrid w:val="0"/>
        <w:spacing w:line="620" w:lineRule="exact"/>
        <w:ind w:firstLine="643" w:firstLineChars="200"/>
        <w:rPr>
          <w:rFonts w:ascii="仿宋_GB2312" w:hAnsi="宋体" w:eastAsia="仿宋_GB2312" w:cs="仿宋_GB2312"/>
          <w:sz w:val="32"/>
          <w:szCs w:val="32"/>
        </w:rPr>
      </w:pPr>
      <w:r>
        <w:rPr>
          <w:rFonts w:hint="eastAsia" w:eastAsia="仿宋"/>
          <w:b/>
          <w:bCs/>
          <w:color w:val="000000" w:themeColor="text1"/>
          <w:sz w:val="32"/>
          <w:szCs w:val="32"/>
          <w14:textFill>
            <w14:solidFill>
              <w14:schemeClr w14:val="tx1"/>
            </w14:solidFill>
          </w14:textFill>
        </w:rPr>
        <w:t>消防宣传教育成果进一步丰硕。</w:t>
      </w:r>
      <w:r>
        <w:rPr>
          <w:rFonts w:hint="eastAsia" w:eastAsia="仿宋"/>
          <w:color w:val="000000" w:themeColor="text1"/>
          <w:sz w:val="32"/>
          <w:szCs w:val="32"/>
          <w14:textFill>
            <w14:solidFill>
              <w14:schemeClr w14:val="tx1"/>
            </w14:solidFill>
          </w14:textFill>
        </w:rPr>
        <w:t>“十三五</w:t>
      </w:r>
      <w:r>
        <w:rPr>
          <w:rFonts w:hint="eastAsia" w:eastAsia="仿宋"/>
          <w:sz w:val="32"/>
          <w:szCs w:val="32"/>
        </w:rPr>
        <w:t>”期间，</w:t>
      </w:r>
      <w:r>
        <w:rPr>
          <w:rFonts w:hint="eastAsia" w:ascii="仿宋_GB2312" w:hAnsi="宋体" w:eastAsia="仿宋_GB2312" w:cs="仿宋_GB2312"/>
          <w:sz w:val="32"/>
          <w:szCs w:val="32"/>
        </w:rPr>
        <w:t>各地</w:t>
      </w:r>
      <w:r>
        <w:rPr>
          <w:rFonts w:ascii="仿宋_GB2312" w:hAnsi="宋体" w:eastAsia="仿宋_GB2312" w:cs="仿宋_GB2312"/>
          <w:sz w:val="32"/>
          <w:szCs w:val="32"/>
        </w:rPr>
        <w:t>、各部门</w:t>
      </w:r>
      <w:r>
        <w:rPr>
          <w:rFonts w:hint="eastAsia" w:ascii="仿宋_GB2312" w:hAnsi="宋体" w:eastAsia="仿宋_GB2312" w:cs="仿宋_GB2312"/>
          <w:sz w:val="32"/>
          <w:szCs w:val="32"/>
        </w:rPr>
        <w:t>大力推进消防宣传“五进”活动，在市级报刊、电视、广播、网络等媒体，累计开办消防专栏4个，发表消防动态新闻3000余条；开展消防宣传活动3000余场（次），发放消防宣传资料10万余份；举办消防安全培训班600余期，培训各类人群20万余人（次）；成立消防志愿服务小分队300余支，发展注册消防志愿者3000人，利用5个消防官方微博、微信、抖音、头条、快手等新媒体账号，发布消防资讯2.5万余条；利用电子屏播放消防公益广告、安全提示信息5万余条；全市高中、大中专科院校入学新生“消防进军训”活动开展率达100%。</w:t>
      </w:r>
    </w:p>
    <w:p>
      <w:pPr>
        <w:spacing w:line="60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eastAsia="仿宋"/>
          <w:b/>
          <w:bCs/>
          <w:sz w:val="32"/>
          <w:szCs w:val="32"/>
        </w:rPr>
        <w:t>应急救援主力军和国家队作用凸显。</w:t>
      </w:r>
      <w:r>
        <w:rPr>
          <w:rFonts w:hint="eastAsia" w:ascii="仿宋_GB2312" w:hAnsi="宋体" w:eastAsia="仿宋_GB2312" w:cs="仿宋_GB2312"/>
          <w:sz w:val="32"/>
          <w:szCs w:val="32"/>
        </w:rPr>
        <w:t>主动适应“全灾种、大应急”任务需要，切实转变救援理念，全面加快转型升级。全市</w:t>
      </w:r>
      <w:r>
        <w:rPr>
          <w:rFonts w:ascii="仿宋_GB2312" w:hAnsi="宋体" w:eastAsia="仿宋_GB2312" w:cs="仿宋_GB2312"/>
          <w:sz w:val="32"/>
          <w:szCs w:val="32"/>
        </w:rPr>
        <w:t>消防救援队伍</w:t>
      </w:r>
      <w:r>
        <w:rPr>
          <w:rFonts w:hint="eastAsia" w:ascii="仿宋_GB2312" w:hAnsi="宋体" w:eastAsia="仿宋_GB2312" w:cs="仿宋_GB2312"/>
          <w:sz w:val="32"/>
          <w:szCs w:val="32"/>
        </w:rPr>
        <w:t>依托消防特勤力量探索发展高层地下、石油化工、</w:t>
      </w:r>
      <w:r>
        <w:rPr>
          <w:rFonts w:hint="eastAsia" w:ascii="仿宋_GB2312" w:hAnsi="宋体" w:eastAsia="仿宋_GB2312" w:cs="仿宋_GB2312"/>
          <w:color w:val="000000" w:themeColor="text1"/>
          <w:sz w:val="32"/>
          <w:szCs w:val="32"/>
          <w14:textFill>
            <w14:solidFill>
              <w14:schemeClr w14:val="tx1"/>
            </w14:solidFill>
          </w14:textFill>
        </w:rPr>
        <w:t>危险化学品泄漏、道路交通事故、山岳等市级专业救援队，按照有关规定落实应急救援队伍的经费、装备、物资等保障措施（此项工作目前已经完成了高层、地震、石油化工、山岳、水域专业救援队的建设工作；危险化学品泄露、地下建筑专业救援队正在完善建设中，相应组建所需的装备器材正在与后勤装备处积极协调中）。2018年底，成立了市级综合应急救援专家库，将地震、建筑、医疗、卫生、环境、交通等领域专家纳入专家库，一旦发生灾情，能全市调动现场辅助决策。不断完善应急救援指挥平台，修订应急救援预案，整合社会资源，健全应急联动机制，提高协同作战能力。“十三五”期间，全市消防救援队伍共接警出动1.64万余次，出动警力26.36万余人次，参与扑救火灾0.96余万次，处置其它各类灾害事故0.67万余次，抢救人员3409人，疏散人员1.2万余人，抢救国家财产价值9.36亿元。</w:t>
      </w:r>
    </w:p>
    <w:p>
      <w:pPr>
        <w:spacing w:line="600" w:lineRule="exact"/>
        <w:ind w:firstLine="643" w:firstLineChars="200"/>
        <w:rPr>
          <w:rFonts w:eastAsia="方正仿宋_GBK" w:cs="方正仿宋_GBK"/>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多种形式消防力量稳步发展。</w:t>
      </w:r>
      <w:r>
        <w:rPr>
          <w:rFonts w:hint="eastAsia" w:ascii="仿宋_GB2312" w:hAnsi="宋体" w:eastAsia="仿宋_GB2312" w:cs="仿宋_GB2312"/>
          <w:color w:val="000000" w:themeColor="text1"/>
          <w:sz w:val="32"/>
          <w:szCs w:val="32"/>
          <w14:textFill>
            <w14:solidFill>
              <w14:schemeClr w14:val="tx1"/>
            </w14:solidFill>
          </w14:textFill>
        </w:rPr>
        <w:t>加快推动政府专职队发展壮大，在所有符合条件的乡镇建立政府专职消防队伍（目前支队共建成21支乡镇消防队）。各级政府将消防队伍建设所需资金列入财政预算予以保障，根据消防工作需要及时编配政府专职消防队消防人员，配备与任务相适应的装备和安全防护器材（21支乡镇消防队均配备了相适应的车辆装备器材）；给各执勤消防中队适当补充征招合同制消防队员，满足灭火及应急救援需要。2016年发展政府专职消防队员200人，2017年发展100人，2018年发展100人，至2020年，全市政府共发展专职消防队员达到500人（目前支队共有专职消防员209人）。在生产、储存易燃易爆危险品的大型企业，储备可燃的重要物资的仓库、基地，火灾危险性较大、距离消防队较远的中型企业建立企业专职消防队。</w:t>
      </w:r>
      <w:bookmarkStart w:id="17" w:name="_Toc25380"/>
      <w:bookmarkStart w:id="18" w:name="_Toc8196"/>
      <w:bookmarkStart w:id="19" w:name="_Toc72607674"/>
      <w:bookmarkStart w:id="20" w:name="_Toc1246"/>
      <w:bookmarkStart w:id="21" w:name="_Toc25530"/>
      <w:bookmarkStart w:id="22" w:name="_Toc1616"/>
      <w:bookmarkStart w:id="23" w:name="_Toc17071"/>
      <w:bookmarkStart w:id="24" w:name="_Toc15483"/>
      <w:bookmarkStart w:id="25" w:name="_Toc4753"/>
    </w:p>
    <w:bookmarkEnd w:id="17"/>
    <w:bookmarkEnd w:id="18"/>
    <w:bookmarkEnd w:id="19"/>
    <w:bookmarkEnd w:id="20"/>
    <w:bookmarkEnd w:id="21"/>
    <w:bookmarkEnd w:id="22"/>
    <w:bookmarkEnd w:id="23"/>
    <w:bookmarkEnd w:id="24"/>
    <w:bookmarkEnd w:id="25"/>
    <w:p>
      <w:pPr>
        <w:spacing w:line="620" w:lineRule="exact"/>
        <w:ind w:firstLine="643" w:firstLineChars="200"/>
        <w:jc w:val="left"/>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消防安全基础有效夯实。</w:t>
      </w:r>
      <w:r>
        <w:rPr>
          <w:rFonts w:hint="eastAsia" w:eastAsia="仿宋"/>
          <w:color w:val="000000" w:themeColor="text1"/>
          <w:sz w:val="32"/>
          <w:szCs w:val="32"/>
          <w14:textFill>
            <w14:solidFill>
              <w14:schemeClr w14:val="tx1"/>
            </w14:solidFill>
          </w14:textFill>
        </w:rPr>
        <w:t>“十三五”期间，银川市新建消防站9座。</w:t>
      </w:r>
      <w:r>
        <w:rPr>
          <w:rFonts w:hint="eastAsia" w:ascii="仿宋_GB2312" w:eastAsia="仿宋_GB2312" w:cs="仿宋_GB2312"/>
          <w:color w:val="000000" w:themeColor="text1"/>
          <w:sz w:val="32"/>
          <w:szCs w:val="32"/>
          <w14:textFill>
            <w14:solidFill>
              <w14:schemeClr w14:val="tx1"/>
            </w14:solidFill>
          </w14:textFill>
        </w:rPr>
        <w:t>其中：阅海站、镇北堡站、兴庆区小型消防站、永宁县望远站和灵武振灵站已建成并投入使用；2021年内永固站和综合保税区站将全部建成并投入使用。</w:t>
      </w:r>
      <w:r>
        <w:rPr>
          <w:rFonts w:hint="eastAsia" w:eastAsia="仿宋"/>
          <w:color w:val="000000" w:themeColor="text1"/>
          <w:sz w:val="32"/>
          <w:szCs w:val="32"/>
          <w14:textFill>
            <w14:solidFill>
              <w14:schemeClr w14:val="tx1"/>
            </w14:solidFill>
          </w14:textFill>
        </w:rPr>
        <w:t>“十三五”期间，消防救援装备不断完善，其中水罐、泡沫等灭火类消防车增加41辆，高喷、平台（最高101米）等举高消防车增加17辆，抢险救援、排烟照明等专勤消防车增加11辆，饮食保障、装备抢修、宿营等战勤保障车增加6辆，其他车辆增加15辆（包括工程机械、远程供水系统及机器人运输车等），增加各类装备器材73369件（套）。陆续</w:t>
      </w:r>
      <w:r>
        <w:rPr>
          <w:rFonts w:hint="eastAsia" w:eastAsia="仿宋"/>
          <w:sz w:val="32"/>
          <w:szCs w:val="32"/>
        </w:rPr>
        <w:t>装备了一</w:t>
      </w:r>
      <w:r>
        <w:rPr>
          <w:rFonts w:hint="eastAsia" w:eastAsia="仿宋"/>
          <w:color w:val="000000" w:themeColor="text1"/>
          <w:sz w:val="32"/>
          <w:szCs w:val="32"/>
          <w14:textFill>
            <w14:solidFill>
              <w14:schemeClr w14:val="tx1"/>
            </w14:solidFill>
          </w14:textFill>
        </w:rPr>
        <w:t>批高精尖的装备：无人机14架，其中具备视频传输的火情侦查无人机11架，灾害现场照明无人机3架；各类生命探测仪器27套，其中雷达生命探测仪12台，音视频探测仪15套；远程无线复合气体检测仪5套；大功率浮艇泵14台；各类舟艇17艘；各类灭火救援机器人12台，其中进口大流量灭火机器人5台，气体侦检机器人1台，排烟机器人1台，水域救援机器人2台，其他灭火机器人3台；俄罗斯进口暴风雪消防炮5台；大流量移动拖车炮1台；大功率德国齐格勒进口工业主战泡沫车3台；高层建筑压缩空气泡沫车3台；21吨泡沫输转车3台；101米登高平台车1辆；方仓式通信指挥车1辆。</w:t>
      </w:r>
    </w:p>
    <w:p>
      <w:pPr>
        <w:spacing w:line="620" w:lineRule="exact"/>
        <w:ind w:firstLine="643" w:firstLineChars="200"/>
        <w:jc w:val="left"/>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信息化建设逐步完善。</w:t>
      </w:r>
      <w:r>
        <w:rPr>
          <w:rFonts w:hint="eastAsia" w:eastAsia="仿宋"/>
          <w:color w:val="000000" w:themeColor="text1"/>
          <w:sz w:val="32"/>
          <w:szCs w:val="32"/>
          <w14:textFill>
            <w14:solidFill>
              <w14:schemeClr w14:val="tx1"/>
            </w14:solidFill>
          </w14:textFill>
        </w:rPr>
        <w:t>“十三五”期间，银川市消防救援队伍信息化初步实现了网络化、数字化、标准化，形成了“基础建设初具规模、业务领域基本覆盖、支撑体系逐步健全、指挥通信体系基本建成”的信息化发展格局。立足“全灾种、大应急”，配备了通信指挥车、卫星便携站、4G布控球，以及无人飞行器、卫星电话、移动指挥终端、车载图像采集终端等设备，构建了上下一致、立体协同、衔接紧密、运行有序的应急指挥通信体系。</w:t>
      </w:r>
    </w:p>
    <w:p>
      <w:pPr>
        <w:spacing w:line="620" w:lineRule="exact"/>
        <w:ind w:firstLine="643" w:firstLineChars="200"/>
        <w:jc w:val="left"/>
        <w:rPr>
          <w:rFonts w:eastAsia="仿宋"/>
          <w:color w:val="000000" w:themeColor="text1"/>
          <w:sz w:val="32"/>
          <w:szCs w:val="32"/>
          <w14:textFill>
            <w14:solidFill>
              <w14:schemeClr w14:val="tx1"/>
            </w14:solidFill>
          </w14:textFill>
        </w:rPr>
      </w:pPr>
      <w:bookmarkStart w:id="26" w:name="_Toc1501"/>
      <w:bookmarkStart w:id="27" w:name="_Toc27195"/>
      <w:bookmarkStart w:id="28" w:name="_Toc8937"/>
      <w:bookmarkStart w:id="29" w:name="_Toc28757"/>
      <w:bookmarkStart w:id="30" w:name="_Toc21635"/>
      <w:bookmarkStart w:id="31" w:name="_Toc23840"/>
      <w:bookmarkStart w:id="32" w:name="_Toc72607675"/>
      <w:bookmarkStart w:id="33" w:name="_Toc11383"/>
      <w:bookmarkStart w:id="34" w:name="_Toc18103"/>
      <w:r>
        <w:rPr>
          <w:rFonts w:hint="eastAsia" w:eastAsia="仿宋"/>
          <w:b/>
          <w:bCs/>
          <w:color w:val="000000" w:themeColor="text1"/>
          <w:sz w:val="32"/>
          <w:szCs w:val="32"/>
          <w14:textFill>
            <w14:solidFill>
              <w14:schemeClr w14:val="tx1"/>
            </w14:solidFill>
          </w14:textFill>
        </w:rPr>
        <w:t>消防经费保障能力进一步提升</w:t>
      </w:r>
      <w:bookmarkEnd w:id="26"/>
      <w:bookmarkEnd w:id="27"/>
      <w:bookmarkEnd w:id="28"/>
      <w:bookmarkEnd w:id="29"/>
      <w:bookmarkEnd w:id="30"/>
      <w:bookmarkEnd w:id="31"/>
      <w:bookmarkEnd w:id="32"/>
      <w:bookmarkEnd w:id="33"/>
      <w:bookmarkEnd w:id="34"/>
      <w:r>
        <w:rPr>
          <w:rFonts w:hint="eastAsia" w:eastAsia="仿宋"/>
          <w:b/>
          <w:bCs/>
          <w:color w:val="000000" w:themeColor="text1"/>
          <w:sz w:val="32"/>
          <w:szCs w:val="32"/>
          <w14:textFill>
            <w14:solidFill>
              <w14:schemeClr w14:val="tx1"/>
            </w14:solidFill>
          </w14:textFill>
        </w:rPr>
        <w:t>。</w:t>
      </w:r>
      <w:r>
        <w:rPr>
          <w:rFonts w:hint="eastAsia" w:eastAsia="仿宋"/>
          <w:color w:val="000000" w:themeColor="text1"/>
          <w:sz w:val="32"/>
          <w:szCs w:val="32"/>
          <w14:textFill>
            <w14:solidFill>
              <w14:schemeClr w14:val="tx1"/>
            </w14:solidFill>
          </w14:textFill>
        </w:rPr>
        <w:t>“十三五”期间，银川市各级政府高度重视</w:t>
      </w:r>
      <w:r>
        <w:rPr>
          <w:rFonts w:eastAsia="仿宋"/>
          <w:color w:val="000000" w:themeColor="text1"/>
          <w:sz w:val="32"/>
          <w:szCs w:val="32"/>
          <w14:textFill>
            <w14:solidFill>
              <w14:schemeClr w14:val="tx1"/>
            </w14:solidFill>
          </w14:textFill>
        </w:rPr>
        <w:t>消防救援力量建设</w:t>
      </w:r>
      <w:r>
        <w:rPr>
          <w:rFonts w:hint="eastAsia" w:eastAsia="仿宋"/>
          <w:color w:val="000000" w:themeColor="text1"/>
          <w:sz w:val="32"/>
          <w:szCs w:val="32"/>
          <w14:textFill>
            <w14:solidFill>
              <w14:schemeClr w14:val="tx1"/>
            </w14:solidFill>
          </w14:textFill>
        </w:rPr>
        <w:t>，多措并举，经费保障</w:t>
      </w:r>
      <w:r>
        <w:rPr>
          <w:rFonts w:eastAsia="仿宋"/>
          <w:color w:val="000000" w:themeColor="text1"/>
          <w:sz w:val="32"/>
          <w:szCs w:val="32"/>
          <w14:textFill>
            <w14:solidFill>
              <w14:schemeClr w14:val="tx1"/>
            </w14:solidFill>
          </w14:textFill>
        </w:rPr>
        <w:t>能力</w:t>
      </w:r>
      <w:r>
        <w:rPr>
          <w:rFonts w:hint="eastAsia" w:eastAsia="仿宋"/>
          <w:color w:val="000000" w:themeColor="text1"/>
          <w:sz w:val="32"/>
          <w:szCs w:val="32"/>
          <w14:textFill>
            <w14:solidFill>
              <w14:schemeClr w14:val="tx1"/>
            </w14:solidFill>
          </w14:textFill>
        </w:rPr>
        <w:t>稳步提升，重点保障了各级消防业务费、消防装备、消防队站基础设施、政府专职消防员、消防信息化和公共消防基础设施等方面的建设和发展。自2016年以来全市各级</w:t>
      </w:r>
      <w:r>
        <w:rPr>
          <w:rFonts w:hint="eastAsia" w:eastAsia="仿宋"/>
          <w:color w:val="000000" w:themeColor="text1"/>
          <w:sz w:val="32"/>
          <w:szCs w:val="32"/>
          <w:highlight w:val="yellow"/>
          <w14:textFill>
            <w14:solidFill>
              <w14:schemeClr w14:val="tx1"/>
            </w14:solidFill>
          </w14:textFill>
        </w:rPr>
        <w:t>财政</w:t>
      </w:r>
      <w:r>
        <w:rPr>
          <w:rFonts w:hint="eastAsia" w:eastAsia="仿宋"/>
          <w:color w:val="000000" w:themeColor="text1"/>
          <w:sz w:val="32"/>
          <w:szCs w:val="32"/>
          <w14:textFill>
            <w14:solidFill>
              <w14:schemeClr w14:val="tx1"/>
            </w14:solidFill>
          </w14:textFill>
        </w:rPr>
        <w:t>累计落实地方消防经费7.2亿元，较“十二五”期间增幅超过60%。实现了银川市消防装备建设经费持续增长，为全市消防救援队伍转型升级，充分发挥应急救援主力军和国家队的作用，提供了强有力的经费支撑。</w:t>
      </w:r>
    </w:p>
    <w:p>
      <w:pPr>
        <w:pStyle w:val="4"/>
        <w:numPr>
          <w:ilvl w:val="0"/>
          <w:numId w:val="1"/>
        </w:numPr>
        <w:rPr>
          <w:color w:val="000000" w:themeColor="text1"/>
          <w14:textFill>
            <w14:solidFill>
              <w14:schemeClr w14:val="tx1"/>
            </w14:solidFill>
          </w14:textFill>
        </w:rPr>
      </w:pPr>
      <w:bookmarkStart w:id="35" w:name="_Toc2958"/>
      <w:r>
        <w:rPr>
          <w:color w:val="000000" w:themeColor="text1"/>
          <w14:textFill>
            <w14:solidFill>
              <w14:schemeClr w14:val="tx1"/>
            </w14:solidFill>
          </w14:textFill>
        </w:rPr>
        <w:t>面临的新挑战</w:t>
      </w:r>
      <w:bookmarkEnd w:id="35"/>
    </w:p>
    <w:p>
      <w:pPr>
        <w:adjustRightInd w:val="0"/>
        <w:snapToGrid w:val="0"/>
        <w:spacing w:line="600" w:lineRule="exact"/>
        <w:ind w:firstLine="640" w:firstLineChars="200"/>
        <w:rPr>
          <w:rFonts w:eastAsia="仿宋"/>
          <w:color w:val="000000" w:themeColor="text1"/>
          <w:sz w:val="32"/>
          <w:szCs w:val="32"/>
          <w14:textFill>
            <w14:solidFill>
              <w14:schemeClr w14:val="tx1"/>
            </w14:solidFill>
          </w14:textFill>
        </w:rPr>
      </w:pPr>
      <w:r>
        <w:rPr>
          <w:rFonts w:hint="eastAsia" w:eastAsia="仿宋"/>
          <w:color w:val="000000" w:themeColor="text1"/>
          <w:sz w:val="32"/>
          <w:szCs w:val="32"/>
          <w14:textFill>
            <w14:solidFill>
              <w14:schemeClr w14:val="tx1"/>
            </w14:solidFill>
          </w14:textFill>
        </w:rPr>
        <w:t>“十四五”时期，随着银川市社会经济的迅速发展，城市规模不断扩大，交通基础设施、产业结构等均发生了重大变化，消防救援力量不足、消防安全基础薄弱等短板将更加突出，原有的城市消防规划布局已无法保障和支撑城市的安全发展。特别是丝路经济园、中关村双创园和苏银产业园等建设，使消防救援工作面临前所未有的严峻挑战。</w:t>
      </w:r>
      <w:bookmarkStart w:id="36" w:name="_Toc18877"/>
      <w:bookmarkStart w:id="37" w:name="_Toc29871"/>
      <w:bookmarkStart w:id="38" w:name="_Toc14085"/>
      <w:bookmarkStart w:id="39" w:name="_Toc72607677"/>
      <w:bookmarkStart w:id="40" w:name="_Toc6710"/>
      <w:bookmarkStart w:id="41" w:name="_Toc29476"/>
      <w:bookmarkStart w:id="42" w:name="_Toc3498"/>
      <w:bookmarkStart w:id="43" w:name="_Toc14622"/>
      <w:bookmarkStart w:id="44" w:name="_Toc13165"/>
    </w:p>
    <w:p>
      <w:pPr>
        <w:spacing w:line="620" w:lineRule="exact"/>
        <w:ind w:firstLine="643" w:firstLineChars="200"/>
        <w:jc w:val="left"/>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“全灾种、大应急”综合救援对消防工作提出新要求。</w:t>
      </w:r>
      <w:r>
        <w:rPr>
          <w:rFonts w:hint="eastAsia" w:eastAsia="仿宋"/>
          <w:color w:val="000000" w:themeColor="text1"/>
          <w:sz w:val="32"/>
          <w:szCs w:val="32"/>
          <w14:textFill>
            <w14:solidFill>
              <w14:schemeClr w14:val="tx1"/>
            </w14:solidFill>
          </w14:textFill>
        </w:rPr>
        <w:t>伴随着</w:t>
      </w:r>
      <w:r>
        <w:rPr>
          <w:rFonts w:eastAsia="仿宋"/>
          <w:color w:val="000000" w:themeColor="text1"/>
          <w:sz w:val="32"/>
          <w:szCs w:val="32"/>
          <w14:textFill>
            <w14:solidFill>
              <w14:schemeClr w14:val="tx1"/>
            </w14:solidFill>
          </w14:textFill>
        </w:rPr>
        <w:t>新一轮科技革命和产业变革深入发展</w:t>
      </w:r>
      <w:r>
        <w:rPr>
          <w:rFonts w:hint="eastAsia" w:eastAsia="仿宋"/>
          <w:color w:val="000000" w:themeColor="text1"/>
          <w:sz w:val="32"/>
          <w:szCs w:val="32"/>
          <w14:textFill>
            <w14:solidFill>
              <w14:schemeClr w14:val="tx1"/>
            </w14:solidFill>
          </w14:textFill>
        </w:rPr>
        <w:t>，银川市将加快做大做强以新材料、电子信息、清洁能源等为代表的</w:t>
      </w:r>
      <w:r>
        <w:rPr>
          <w:rFonts w:eastAsia="仿宋"/>
          <w:color w:val="000000" w:themeColor="text1"/>
          <w:sz w:val="32"/>
          <w:szCs w:val="32"/>
          <w14:textFill>
            <w14:solidFill>
              <w14:schemeClr w14:val="tx1"/>
            </w14:solidFill>
          </w14:textFill>
        </w:rPr>
        <w:t>“九大</w:t>
      </w:r>
      <w:r>
        <w:rPr>
          <w:rFonts w:hint="eastAsia" w:eastAsia="仿宋"/>
          <w:color w:val="000000" w:themeColor="text1"/>
          <w:sz w:val="32"/>
          <w:szCs w:val="32"/>
          <w14:textFill>
            <w14:solidFill>
              <w14:schemeClr w14:val="tx1"/>
            </w14:solidFill>
          </w14:textFill>
        </w:rPr>
        <w:t>重点</w:t>
      </w:r>
      <w:r>
        <w:rPr>
          <w:rFonts w:eastAsia="仿宋"/>
          <w:color w:val="000000" w:themeColor="text1"/>
          <w:sz w:val="32"/>
          <w:szCs w:val="32"/>
          <w14:textFill>
            <w14:solidFill>
              <w14:schemeClr w14:val="tx1"/>
            </w14:solidFill>
          </w14:textFill>
        </w:rPr>
        <w:t>产业”布局</w:t>
      </w:r>
      <w:r>
        <w:rPr>
          <w:rFonts w:hint="eastAsia" w:eastAsia="仿宋"/>
          <w:color w:val="000000" w:themeColor="text1"/>
          <w:sz w:val="32"/>
          <w:szCs w:val="32"/>
          <w14:textFill>
            <w14:solidFill>
              <w14:schemeClr w14:val="tx1"/>
            </w14:solidFill>
          </w14:textFill>
        </w:rPr>
        <w:t>，全市火灾防控和应急救援任务突显复杂性、艰巨性。“十四五”时期，要根据经济社会发展水平、产业发展特点，进一步增强火灾防控和应急救援能力，强化消防救援队伍建设，构建“全灾种、全地域、全天候”的一体化专业救援力量体系。</w:t>
      </w:r>
    </w:p>
    <w:p>
      <w:pPr>
        <w:adjustRightInd w:val="0"/>
        <w:snapToGrid w:val="0"/>
        <w:spacing w:line="600" w:lineRule="exact"/>
        <w:ind w:firstLine="643" w:firstLineChars="20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防范化解风险能力与加快先行示范市建设需求不相适应</w:t>
      </w:r>
      <w:bookmarkEnd w:id="36"/>
      <w:bookmarkEnd w:id="37"/>
      <w:bookmarkEnd w:id="38"/>
      <w:bookmarkEnd w:id="39"/>
      <w:bookmarkEnd w:id="40"/>
      <w:bookmarkEnd w:id="41"/>
      <w:bookmarkEnd w:id="42"/>
      <w:bookmarkEnd w:id="43"/>
      <w:bookmarkEnd w:id="44"/>
      <w:r>
        <w:rPr>
          <w:rFonts w:hint="eastAsia" w:eastAsia="仿宋"/>
          <w:b/>
          <w:bCs/>
          <w:color w:val="000000" w:themeColor="text1"/>
          <w:sz w:val="32"/>
          <w:szCs w:val="32"/>
          <w14:textFill>
            <w14:solidFill>
              <w14:schemeClr w14:val="tx1"/>
            </w14:solidFill>
          </w14:textFill>
        </w:rPr>
        <w:t>。</w:t>
      </w:r>
      <w:r>
        <w:rPr>
          <w:rFonts w:hint="eastAsia" w:eastAsia="仿宋"/>
          <w:color w:val="000000" w:themeColor="text1"/>
          <w:sz w:val="32"/>
          <w:szCs w:val="32"/>
          <w14:textFill>
            <w14:solidFill>
              <w14:schemeClr w14:val="tx1"/>
            </w14:solidFill>
          </w14:textFill>
        </w:rPr>
        <w:t>随着“五位一体”总体布局和黄河流域高质量发展先行区战略持续推进，新能源、新材料、新产业、新业态迅猛发展等带来的增量风险加速积累，地区倚重倚能的产业结构尚未得到有效转变，新型化工产业链繁杂且灵活多变导致不可控因素增多。目前全市高层建筑有4791栋，地下建筑202个，建筑高度超过百米的超高层建筑有6栋，体量过5万平米的大型商业综合体有13处，这些场所人员密集，存在体量大、火灾荷载大、扑救难度大等风险和特点。</w:t>
      </w:r>
      <w:r>
        <w:rPr>
          <w:rFonts w:hint="eastAsia" w:eastAsia="仿宋"/>
          <w:sz w:val="32"/>
          <w:szCs w:val="32"/>
        </w:rPr>
        <w:t>普遍存在日常消防安全管理不足、群众和职工消防安全意识淡薄、灭火应急处置能力不足等问题。</w:t>
      </w:r>
      <w:r>
        <w:rPr>
          <w:rFonts w:hint="eastAsia" w:eastAsia="仿宋"/>
          <w:color w:val="000000" w:themeColor="text1"/>
          <w:sz w:val="32"/>
          <w:szCs w:val="32"/>
          <w14:textFill>
            <w14:solidFill>
              <w14:schemeClr w14:val="tx1"/>
            </w14:solidFill>
          </w14:textFill>
        </w:rPr>
        <w:t>经济社会高速发展影响消防安全的因素日益增多，长期积累的风险可能集中释放，甚至形成系统性风险，给当前火灾防控和灭火救援工作带来了新的难度和挑战。</w:t>
      </w:r>
    </w:p>
    <w:p>
      <w:pPr>
        <w:adjustRightInd w:val="0"/>
        <w:snapToGrid w:val="0"/>
        <w:spacing w:line="600" w:lineRule="exact"/>
        <w:ind w:firstLine="482" w:firstLineChars="15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特殊场所火灾频发救援处置工作提出新挑战。</w:t>
      </w:r>
      <w:r>
        <w:rPr>
          <w:rFonts w:hint="eastAsia" w:eastAsia="仿宋"/>
          <w:color w:val="000000" w:themeColor="text1"/>
          <w:sz w:val="32"/>
          <w:szCs w:val="32"/>
          <w14:textFill>
            <w14:solidFill>
              <w14:schemeClr w14:val="tx1"/>
            </w14:solidFill>
          </w14:textFill>
        </w:rPr>
        <w:t>“十三五”期间，银川市火灾主要灾害类型以山林野外（堆垛）类火灾、家具、设备制品类火灾居多，其中山林野外（堆垛）类火灾4093起，占总数的42.6%，家具、设备制品类1502起，占总数的15.6%。老旧小区普遍存在消防通道被占用，进出小区道路狭窄等问题，在扑救过程中，大型车辆进出火场困难；水上救援缺少水域救援装备（如宁安站现有2艘橡皮艇、1艘冲锋舟和1艘摩托艇，缺少浮艇泵及潜水装具等水域救援装备）；规模化高空立体作战能力不强，银川市高层建筑数量众多，举高灭火救援能力特别是规模化高空立体作战能力与高层建筑现状及发展趋势不相适应；特种灾害事故抢险救援能力较弱，全市用于扑救大型商业综合体建筑，地下建筑，大跨度、大空间建筑，大型仓储场所等特殊火灾的大功率照明消防车、大功率排烟消防车、高倍数泡沫消防车、强臂破拆消防车和大流量、远射程、大功率罐类消防车缺乏；地下建筑（如：地下商场、地下车库等）开发利用呈规模扩大化、用途多样化等趋势，如宁夏大世界商务广场地下建筑层数多达4层，地下建筑体量达5.9万平方米，灭火和应急救援困难，应急通讯困难，加之烟气扩散不利，对消防救援带来挑战；此外，银川市地下管廊和越湖隧道一旦发生火灾，受车辆堵塞、地下能见度差等影响，也对消防救援带来新的挑战。</w:t>
      </w:r>
    </w:p>
    <w:p>
      <w:pPr>
        <w:adjustRightInd w:val="0"/>
        <w:snapToGrid w:val="0"/>
        <w:spacing w:line="600" w:lineRule="exact"/>
        <w:ind w:firstLine="643" w:firstLineChars="20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应急救援需求多样化对高质量发展提出新挑战。</w:t>
      </w:r>
      <w:r>
        <w:rPr>
          <w:rFonts w:hint="eastAsia" w:eastAsia="仿宋"/>
          <w:color w:val="000000" w:themeColor="text1"/>
          <w:sz w:val="32"/>
          <w:szCs w:val="32"/>
          <w14:textFill>
            <w14:solidFill>
              <w14:schemeClr w14:val="tx1"/>
            </w14:solidFill>
          </w14:textFill>
        </w:rPr>
        <w:t>制约消防救援事业高质量发展的基础性、保障性问题依然突出。银川市消防安全韧性不强，城乡结合部、城中村和老旧小区、“棚户区”建筑耐火等级和抗震设防标准不高。城乡公共消防设施滞后，各地消防救援站、消防供水、消防车通道、消防装备等不同程度“欠账”，有的地方长期未能补齐。地震、水域、高层、化工、山岳、森林等专业队等现代化专业救援装备配备不足，新建消防站车辆装备不能及时配备到位，常规消耗性防护及灭火装备更新不及时库存数量不足，难以适应“全灾种、大应急”综合救援需要。科技引领支撑和动能转化不足，应急通信系统尚未完善，大震巨灾和极端气候等环境下的现场通信和指挥调度有待改进。消防救援物资储备种类和数量不足，紧急调集、远程运输机制还不完善。此外，社会单位本质安全水平总体不高，消防专业人才缺乏，应急处置能力偏低，可能导致小事故酿成大灾难。</w:t>
      </w:r>
    </w:p>
    <w:p>
      <w:pPr>
        <w:adjustRightInd w:val="0"/>
        <w:snapToGrid w:val="0"/>
        <w:spacing w:line="600" w:lineRule="exact"/>
        <w:ind w:firstLine="643" w:firstLineChars="20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力量体系尚未完善对消防均等化服务提出新挑战。</w:t>
      </w:r>
      <w:r>
        <w:rPr>
          <w:rFonts w:hint="eastAsia" w:eastAsia="仿宋"/>
          <w:color w:val="000000" w:themeColor="text1"/>
          <w:sz w:val="32"/>
          <w:szCs w:val="32"/>
          <w14:textFill>
            <w14:solidFill>
              <w14:schemeClr w14:val="tx1"/>
            </w14:solidFill>
          </w14:textFill>
        </w:rPr>
        <w:t>国家提出“十四五”时期基本公共服务均等化水平明显提高。银川市消防救援队伍现有国家队员460名，专职队员325名。目前全市消防救援站中仍有5个消防站（镇北堡消防救援站、望远消防救援站、振灵消防救援站、煤化工园区政府专职消防救援站、临河政府专职消防救援站）没有编制，人员少、任务重的矛盾异常突出。政府专职消防队伍建设保障不足，招不来留不住、更替频繁的问题突出。“十四五”时期，建强综合性消防救援队伍、构建综合性消防救援力量体系仍是紧迫而现实的重大任务。</w:t>
      </w:r>
    </w:p>
    <w:p>
      <w:pPr>
        <w:adjustRightInd w:val="0"/>
        <w:snapToGrid w:val="0"/>
        <w:spacing w:line="600" w:lineRule="exact"/>
        <w:ind w:firstLine="643" w:firstLineChars="20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消防责任体系建设与社会化综合治理需求不相适应。</w:t>
      </w:r>
      <w:r>
        <w:rPr>
          <w:rFonts w:hint="eastAsia" w:eastAsia="仿宋"/>
          <w:color w:val="000000" w:themeColor="text1"/>
          <w:sz w:val="32"/>
          <w:szCs w:val="32"/>
          <w14:textFill>
            <w14:solidFill>
              <w14:schemeClr w14:val="tx1"/>
            </w14:solidFill>
          </w14:textFill>
        </w:rPr>
        <w:t>一些地区落实消防工作责任存在“上热、中温、下冷”问题，部分行业部门落实“三个必须”要求不深不细、被动应付，分级管控和隐患排查治理“双重预防工作机制”尚未完全建立。一些易燃易爆危险品、新型化工等特殊行业领域的安全监管涉及应急管理、公安、市场监管、环保、交通、卫生健康委等多个部门，职能交叉、多头管理，相关静态动态数据分散，信息不畅、联动不够，个别部门监管不严，容易造成消防安全管理“真空”。街道、乡镇、社区等基层单位和组织抓消防工作的主动性欠缺，派出所消防监督和宣传工作弱化，网格化消防安全管理没有完全落地，基层消防安全综合治理能力需进一步提升，消防安全责任体系建设需进一步完善。社会单位消防管理制度不健全，消防设施损坏维修不及时，装修装饰材料使用不安全，燃气电气使用不规范，员工岗前培训不重视等问题还较为普遍，一些建设工程未经消防验收擅自投入使用，容易产生“先天性”火灾隐患，社会单位消防安全主体责任尚未真正有效落实。公共消防安全管理从单一监管向综合监管转变、从管事向管人转变、从查隐患向查责任转变还需要一定过程。</w:t>
      </w:r>
    </w:p>
    <w:p>
      <w:pPr>
        <w:widowControl/>
        <w:spacing w:after="158" w:afterLines="50" w:line="360" w:lineRule="auto"/>
        <w:ind w:firstLine="643" w:firstLineChars="200"/>
        <w:rPr>
          <w:rFonts w:eastAsia="仿宋"/>
          <w:sz w:val="32"/>
          <w:szCs w:val="32"/>
        </w:rPr>
      </w:pPr>
      <w:r>
        <w:rPr>
          <w:rFonts w:hint="eastAsia" w:eastAsia="仿宋"/>
          <w:b/>
          <w:bCs/>
          <w:sz w:val="32"/>
          <w:szCs w:val="32"/>
        </w:rPr>
        <w:t>公共消防设施建设与高质量发展安全需求不相适应。</w:t>
      </w:r>
      <w:r>
        <w:rPr>
          <w:rFonts w:hint="eastAsia" w:eastAsia="仿宋"/>
          <w:sz w:val="32"/>
          <w:szCs w:val="32"/>
        </w:rPr>
        <w:t>按照《银川市消防规划（2015-2020）》的要求，规划增加18座消防站，在规划实施期间消防站仅仅增加了7座，金凤区中部和北部等区域城市建设基本完成，但消防站未及时建设，消防站建设滞后于城市的发展。依据银川市中心城区火灾风险风险评估结论，兴庆区北部、金凤区中部和南部、西夏区西部缺少消防站，从而增加了现有消防站有效责任区面积，加之近年来银川市机动车增长迅速，道路拥堵，特别老城区车辆行驶速度缓慢，极易失去抢救生命和扑救火灾的最佳时机，使小火酿成大火。现有消防站设置不合理（如兴庆区小型站与满春站距离较近，导致责任区划分不合理）、规划不同步（如综保区消防站已建成但周边市政等配套设施还未配套）、建设标准缺乏前瞻性（如特勤二站、铁东站、怀远站和新华站等用地面积不满足标准要求）等问题仍然存在，以及建站良性机制尚未建立，消防站规划用地被挪作他用、选址反复调整等问题仍未杜绝。</w:t>
      </w:r>
    </w:p>
    <w:p>
      <w:pPr>
        <w:widowControl/>
        <w:spacing w:after="158" w:afterLines="50" w:line="360" w:lineRule="auto"/>
        <w:rPr>
          <w:rFonts w:ascii="宋体" w:hAnsi="宋体" w:cs="宋体"/>
          <w:b/>
          <w:bCs/>
          <w:sz w:val="22"/>
          <w:szCs w:val="22"/>
        </w:rPr>
      </w:pPr>
      <w:r>
        <w:rPr>
          <w:rFonts w:hint="eastAsia" w:eastAsia="仿宋"/>
          <w:sz w:val="32"/>
          <w:szCs w:val="32"/>
        </w:rPr>
        <w:drawing>
          <wp:inline distT="0" distB="0" distL="114300" distR="114300">
            <wp:extent cx="5642610" cy="4643120"/>
            <wp:effectExtent l="9525" t="9525" r="24765" b="14605"/>
            <wp:docPr id="12" name="图片 12" descr="19火灾风险分区和现状消防站5分钟可达范围叠加分析图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火灾风险分区和现状消防站5分钟可达范围叠加分析图111111"/>
                    <pic:cNvPicPr>
                      <a:picLocks noChangeAspect="1"/>
                    </pic:cNvPicPr>
                  </pic:nvPicPr>
                  <pic:blipFill>
                    <a:blip r:embed="rId7"/>
                    <a:stretch>
                      <a:fillRect/>
                    </a:stretch>
                  </pic:blipFill>
                  <pic:spPr>
                    <a:xfrm>
                      <a:off x="0" y="0"/>
                      <a:ext cx="5642610" cy="4643120"/>
                    </a:xfrm>
                    <a:prstGeom prst="rect">
                      <a:avLst/>
                    </a:prstGeom>
                    <a:ln>
                      <a:solidFill>
                        <a:schemeClr val="tx1"/>
                      </a:solidFill>
                    </a:ln>
                  </pic:spPr>
                </pic:pic>
              </a:graphicData>
            </a:graphic>
          </wp:inline>
        </w:drawing>
      </w:r>
    </w:p>
    <w:p>
      <w:pPr>
        <w:spacing w:after="158" w:afterLines="50" w:line="360" w:lineRule="auto"/>
        <w:ind w:firstLine="562" w:firstLineChars="200"/>
        <w:jc w:val="center"/>
      </w:pPr>
      <w:r>
        <w:rPr>
          <w:rFonts w:hint="eastAsia"/>
          <w:b/>
          <w:bCs/>
          <w:sz w:val="28"/>
          <w:szCs w:val="24"/>
        </w:rPr>
        <w:t>火灾风险评估图</w:t>
      </w:r>
    </w:p>
    <w:p>
      <w:pPr>
        <w:pStyle w:val="23"/>
        <w:ind w:firstLine="640"/>
        <w:rPr>
          <w:rFonts w:eastAsia="仿宋" w:cs="Times New Roman"/>
          <w:color w:val="000000" w:themeColor="text1"/>
          <w:kern w:val="2"/>
          <w:sz w:val="32"/>
          <w:szCs w:val="32"/>
          <w14:textFill>
            <w14:solidFill>
              <w14:schemeClr w14:val="tx1"/>
            </w14:solidFill>
          </w14:textFill>
        </w:rPr>
      </w:pPr>
      <w:r>
        <w:rPr>
          <w:rFonts w:hint="eastAsia" w:eastAsia="仿宋" w:cs="Times New Roman"/>
          <w:color w:val="000000" w:themeColor="text1"/>
          <w:kern w:val="2"/>
          <w:sz w:val="32"/>
          <w:szCs w:val="32"/>
          <w14:textFill>
            <w14:solidFill>
              <w14:schemeClr w14:val="tx1"/>
            </w14:solidFill>
          </w14:textFill>
        </w:rPr>
        <w:t>银川市城区现有消火栓4948个，完好的共3452个，损坏的共1496个,完好率为69.8%。苏银产业园现有消火栓622个，完好的共496个，损坏的共126个，完好率为79.7%。大部分道路消火栓的布设未达到要求，有些还由于人为损坏、施工及被埋压、圈占或无法使用，致使发生火灾后，消防车只能跑到很远的地方去运水，严重影响了灭火工作的正常开展。</w:t>
      </w:r>
    </w:p>
    <w:p>
      <w:pPr>
        <w:pStyle w:val="23"/>
        <w:ind w:firstLine="640"/>
        <w:rPr>
          <w:rFonts w:eastAsia="仿宋" w:cs="Times New Roman"/>
          <w:color w:val="000000" w:themeColor="text1"/>
          <w:kern w:val="2"/>
          <w:sz w:val="32"/>
          <w:szCs w:val="32"/>
          <w14:textFill>
            <w14:solidFill>
              <w14:schemeClr w14:val="tx1"/>
            </w14:solidFill>
          </w14:textFill>
        </w:rPr>
      </w:pPr>
      <w:r>
        <w:rPr>
          <w:rFonts w:hint="eastAsia" w:eastAsia="仿宋" w:cs="Times New Roman"/>
          <w:color w:val="000000" w:themeColor="text1"/>
          <w:kern w:val="2"/>
          <w:sz w:val="32"/>
          <w:szCs w:val="32"/>
          <w14:textFill>
            <w14:solidFill>
              <w14:schemeClr w14:val="tx1"/>
            </w14:solidFill>
          </w14:textFill>
        </w:rPr>
        <w:t>城市供水管网老化问题己日益显现，老城区问题尤为突出，其中中山街和解放路部分管线最早建于1964年、1968年，长期超限运行，年久失修，老化严重，供水可靠性差，管网漏损率偏高。</w:t>
      </w:r>
    </w:p>
    <w:p>
      <w:pPr>
        <w:adjustRightInd w:val="0"/>
        <w:snapToGrid w:val="0"/>
        <w:spacing w:line="600" w:lineRule="exact"/>
        <w:ind w:firstLine="640" w:firstLineChars="200"/>
        <w:rPr>
          <w:rFonts w:eastAsia="仿宋"/>
          <w:color w:val="000000" w:themeColor="text1"/>
          <w:sz w:val="32"/>
          <w:szCs w:val="32"/>
          <w14:textFill>
            <w14:solidFill>
              <w14:schemeClr w14:val="tx1"/>
            </w14:solidFill>
          </w14:textFill>
        </w:rPr>
      </w:pPr>
      <w:r>
        <w:rPr>
          <w:rFonts w:hint="eastAsia" w:eastAsia="仿宋"/>
          <w:color w:val="000000" w:themeColor="text1"/>
          <w:sz w:val="32"/>
          <w:szCs w:val="32"/>
          <w14:textFill>
            <w14:solidFill>
              <w14:schemeClr w14:val="tx1"/>
            </w14:solidFill>
          </w14:textFill>
        </w:rPr>
        <w:t>现状中心城区内缺少取水平台和城市消防水池。从现状情况来看，唐徕渠、丽景湖、宝湖、典农河、北塔湖等天然水源及其它水系未能加以利用作为消防水源，仅靠消火栓难以充分满足消防车的用水补给工作，应急消防取水设施缺乏会对消防救火工作带来一定的阻碍。农村地区和移民安置点消防水源欠缺、距离消防站较远等薄弱问题仍待改善。</w:t>
      </w:r>
    </w:p>
    <w:p>
      <w:pPr>
        <w:adjustRightInd w:val="0"/>
        <w:snapToGrid w:val="0"/>
        <w:spacing w:line="600" w:lineRule="exact"/>
        <w:ind w:firstLine="640" w:firstLineChars="200"/>
        <w:rPr>
          <w:rFonts w:eastAsia="仿宋"/>
          <w:color w:val="000000" w:themeColor="text1"/>
          <w:sz w:val="32"/>
          <w:szCs w:val="32"/>
          <w14:textFill>
            <w14:solidFill>
              <w14:schemeClr w14:val="tx1"/>
            </w14:solidFill>
          </w14:textFill>
        </w:rPr>
      </w:pPr>
      <w:r>
        <w:rPr>
          <w:rFonts w:hint="eastAsia" w:eastAsia="仿宋"/>
          <w:color w:val="000000" w:themeColor="text1"/>
          <w:sz w:val="32"/>
          <w:szCs w:val="32"/>
          <w14:textFill>
            <w14:solidFill>
              <w14:schemeClr w14:val="tx1"/>
            </w14:solidFill>
          </w14:textFill>
        </w:rPr>
        <w:t>现有街巷违章建设、占道经营、占道停车现象时有发生，不利于消防车辆通行施救；旧城区和“城中村”建筑防火间距不足，加上居民消防意识单薄，消防通道堵塞情况仍有发生；小区规划建设之初对消防通道设置缺乏考虑，后期小区物业管理也未引起重视，道路狭窄、堵塞状况层出不穷；西夏区工业园及农村地区部分道路设有限高杆，导致消防车辆无法正常通行。</w:t>
      </w:r>
    </w:p>
    <w:p>
      <w:pPr>
        <w:spacing w:line="560" w:lineRule="exact"/>
        <w:ind w:firstLine="643" w:firstLineChars="20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车辆、装备器材老化和配备不足。</w:t>
      </w:r>
      <w:r>
        <w:rPr>
          <w:rFonts w:hint="eastAsia" w:eastAsia="仿宋"/>
          <w:color w:val="000000" w:themeColor="text1"/>
          <w:sz w:val="32"/>
          <w:szCs w:val="32"/>
          <w14:textFill>
            <w14:solidFill>
              <w14:schemeClr w14:val="tx1"/>
            </w14:solidFill>
          </w14:textFill>
        </w:rPr>
        <w:t>截止到目前，银川市消防救援队伍现有各类执勤消防车辆174辆，各类装备器材10.6万件（套），虽然能基本满足现有灭火救援需求，但距离新增的任务需求尚有很大差距。存在以下问题：一是登高平台消防车和云梯消防车不足；二是新建6处消防站的车辆和器材装备还没有专项经费保障，不能按照《城市消防站建设标准》配齐；三是现有部分老旧车辆和器材面临淘汰（截止到2019年底已有21辆消防车超期服役达到报废条件），需要进一步更新换代和补充配备；四是缺乏打“大仗、恶仗”和处置全灾种大应急救援任务的装备，“高科技、精良、尖端”的消防装备配备不足，消防救援装备的体系化、实战化、专业化装备建设水平不高。</w:t>
      </w:r>
    </w:p>
    <w:p>
      <w:pPr>
        <w:spacing w:line="620" w:lineRule="exact"/>
        <w:ind w:firstLine="643" w:firstLineChars="200"/>
        <w:jc w:val="left"/>
      </w:pPr>
      <w:r>
        <w:rPr>
          <w:rFonts w:hint="eastAsia" w:eastAsia="仿宋"/>
          <w:b/>
          <w:bCs/>
          <w:sz w:val="32"/>
          <w:szCs w:val="32"/>
        </w:rPr>
        <w:t>数字化转型对消防工作提出新要求。</w:t>
      </w:r>
      <w:r>
        <w:rPr>
          <w:rFonts w:hint="eastAsia" w:eastAsia="仿宋"/>
          <w:sz w:val="32"/>
          <w:szCs w:val="32"/>
        </w:rPr>
        <w:t>数字经济已成为银川市经济发展新动能，银川市着力</w:t>
      </w:r>
      <w:r>
        <w:rPr>
          <w:rFonts w:eastAsia="仿宋_GB2312"/>
          <w:sz w:val="32"/>
          <w:szCs w:val="32"/>
          <w:lang w:bidi="ar"/>
        </w:rPr>
        <w:t>实施数字慧市行动，大力发展数字经济</w:t>
      </w:r>
      <w:r>
        <w:rPr>
          <w:rFonts w:hint="eastAsia" w:eastAsia="仿宋_GB2312"/>
          <w:sz w:val="32"/>
          <w:szCs w:val="32"/>
          <w:lang w:bidi="ar"/>
        </w:rPr>
        <w:t>，推进产业数字化、数字产业化，</w:t>
      </w:r>
      <w:r>
        <w:rPr>
          <w:rFonts w:eastAsia="仿宋_GB2312"/>
          <w:bCs/>
          <w:sz w:val="32"/>
          <w:szCs w:val="32"/>
          <w:lang w:bidi="ar"/>
        </w:rPr>
        <w:t>支持互联网软件技术和工业技术深度融合，</w:t>
      </w:r>
      <w:r>
        <w:rPr>
          <w:rFonts w:hint="eastAsia" w:eastAsia="仿宋_GB2312"/>
          <w:bCs/>
          <w:sz w:val="32"/>
          <w:szCs w:val="32"/>
          <w:lang w:bidi="ar"/>
        </w:rPr>
        <w:t>不断</w:t>
      </w:r>
      <w:r>
        <w:rPr>
          <w:rFonts w:eastAsia="仿宋_GB2312"/>
          <w:bCs/>
          <w:sz w:val="32"/>
          <w:szCs w:val="32"/>
          <w:lang w:bidi="ar"/>
        </w:rPr>
        <w:t>完善数字化发展环境</w:t>
      </w:r>
      <w:r>
        <w:rPr>
          <w:rFonts w:hint="eastAsia" w:eastAsia="仿宋_GB2312"/>
          <w:bCs/>
          <w:sz w:val="32"/>
          <w:szCs w:val="32"/>
          <w:lang w:bidi="ar"/>
        </w:rPr>
        <w:t>，</w:t>
      </w:r>
      <w:r>
        <w:rPr>
          <w:rFonts w:eastAsia="仿宋_GB2312"/>
          <w:sz w:val="32"/>
          <w:szCs w:val="32"/>
          <w:lang w:bidi="ar"/>
        </w:rPr>
        <w:t>引导各类电子商务业态集聚和功能提升</w:t>
      </w:r>
      <w:r>
        <w:rPr>
          <w:rFonts w:hint="eastAsia" w:eastAsia="仿宋"/>
          <w:sz w:val="32"/>
          <w:szCs w:val="32"/>
        </w:rPr>
        <w:t>。随着物联网、云计算、大数据、人工智能等新一代信息技术的迅速发展，新技术、新业态、新模式给数字经济带来新的变化和内涵。“十四五”时期，要面对防范化解重大安全风险的时代重任，紧紧抓住新一轮技术革命的契机，努力构建与新时代国家应急救援体系相适应的数字化支撑体系，为消防工作转型升级提供新的强大动能。</w:t>
      </w:r>
    </w:p>
    <w:p>
      <w:pPr>
        <w:adjustRightInd w:val="0"/>
        <w:snapToGrid w:val="0"/>
        <w:spacing w:line="600" w:lineRule="exact"/>
        <w:ind w:firstLine="643" w:firstLineChars="20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公民消防安全素养与共创和谐化社会需求不相适应。</w:t>
      </w:r>
      <w:r>
        <w:rPr>
          <w:rFonts w:hint="eastAsia" w:eastAsia="仿宋"/>
          <w:color w:val="000000" w:themeColor="text1"/>
          <w:sz w:val="32"/>
          <w:szCs w:val="32"/>
          <w14:textFill>
            <w14:solidFill>
              <w14:schemeClr w14:val="tx1"/>
            </w14:solidFill>
          </w14:textFill>
        </w:rPr>
        <w:t>公民消防安全素养总体不高，城乡差距明显，儿童、老年、残疾人、移民安置群众及外来务工或留守人员等群体的火灾预防、自救逃生和扑救初起火灾能力不足。消防宣传教育培训的系统性、科学性、体验性和覆盖面不足，群众对消防安全责任、常识仍存在一些错误观念和认识。消防安全教育培训在基础研究、学习平台、教育基地、志愿队伍等方面存在短板，制约了公民消防安全素养的提升。</w:t>
      </w:r>
    </w:p>
    <w:p>
      <w:pPr>
        <w:pStyle w:val="4"/>
        <w:numPr>
          <w:ilvl w:val="0"/>
          <w:numId w:val="1"/>
        </w:numPr>
        <w:rPr>
          <w:color w:val="000000" w:themeColor="text1"/>
          <w14:textFill>
            <w14:solidFill>
              <w14:schemeClr w14:val="tx1"/>
            </w14:solidFill>
          </w14:textFill>
        </w:rPr>
      </w:pPr>
      <w:bookmarkStart w:id="45" w:name="_Toc19092"/>
      <w:r>
        <w:rPr>
          <w:color w:val="000000" w:themeColor="text1"/>
          <w14:textFill>
            <w14:solidFill>
              <w14:schemeClr w14:val="tx1"/>
            </w14:solidFill>
          </w14:textFill>
        </w:rPr>
        <w:t>发展的新机遇</w:t>
      </w:r>
      <w:bookmarkEnd w:id="45"/>
    </w:p>
    <w:p>
      <w:pPr>
        <w:adjustRightInd w:val="0"/>
        <w:snapToGrid w:val="0"/>
        <w:spacing w:line="600" w:lineRule="exact"/>
        <w:ind w:firstLine="640" w:firstLineChars="200"/>
        <w:rPr>
          <w:rFonts w:eastAsia="仿宋"/>
          <w:color w:val="000000" w:themeColor="text1"/>
          <w:sz w:val="32"/>
          <w:szCs w:val="32"/>
          <w14:textFill>
            <w14:solidFill>
              <w14:schemeClr w14:val="tx1"/>
            </w14:solidFill>
          </w14:textFill>
        </w:rPr>
      </w:pPr>
      <w:r>
        <w:rPr>
          <w:rFonts w:hint="eastAsia" w:eastAsia="仿宋"/>
          <w:color w:val="000000" w:themeColor="text1"/>
          <w:sz w:val="32"/>
          <w:szCs w:val="32"/>
          <w14:textFill>
            <w14:solidFill>
              <w14:schemeClr w14:val="tx1"/>
            </w14:solidFill>
          </w14:textFill>
        </w:rPr>
        <w:t>习近平总书记指出，统筹发展和安全，是我们党治国理政的一个重大原则。党的十九届五中全会指出要建设更高水平的平安中国。消防安全是平安中国建设的重要一环，也是支撑我市建设黄河流域生态保护和高质量发展先行区示范市的重要保障力量。“十四五”时期，要切实把消防工作放在社会治理大局中，进一步提升全社会抗御火灾能力，改善消防安全环境，保障人民安全，为争创“平安银川”保驾护航。</w:t>
      </w:r>
    </w:p>
    <w:p>
      <w:pPr>
        <w:spacing w:line="620" w:lineRule="exact"/>
        <w:ind w:firstLine="643" w:firstLineChars="200"/>
        <w:jc w:val="left"/>
        <w:rPr>
          <w:rFonts w:eastAsia="仿宋"/>
          <w:sz w:val="32"/>
          <w:szCs w:val="32"/>
        </w:rPr>
      </w:pPr>
      <w:r>
        <w:rPr>
          <w:rFonts w:hint="eastAsia" w:eastAsia="仿宋"/>
          <w:b/>
          <w:bCs/>
          <w:sz w:val="32"/>
          <w:szCs w:val="32"/>
        </w:rPr>
        <w:t>消防救援事业改革对消防工作提出新期待。</w:t>
      </w:r>
      <w:r>
        <w:rPr>
          <w:rFonts w:hint="eastAsia" w:eastAsia="仿宋"/>
          <w:sz w:val="32"/>
          <w:szCs w:val="32"/>
        </w:rPr>
        <w:t>习近平总书记亲自向国家综合性消防救援队伍授旗并致训词，强调组建国家综合性消防救援队伍是党中央适应国家治理体系和治理能力现代化作出的战略决策。“十四五”时期，消防救援队伍要始终坚持“对党忠诚、纪律严明、赴汤蹈火、竭诚为民”建队方针，坚持纪律部队建设标准，坚定走出中国特色消防救援队伍建设新路子，进一步推动消防领域简政放权，深化消防执法改革，创新社会治理模式，推动向多元社会主体协同治理转变。</w:t>
      </w:r>
    </w:p>
    <w:p>
      <w:pPr>
        <w:spacing w:line="620" w:lineRule="exact"/>
        <w:ind w:firstLine="643" w:firstLineChars="200"/>
        <w:jc w:val="left"/>
        <w:rPr>
          <w:rFonts w:eastAsia="仿宋"/>
          <w:sz w:val="32"/>
          <w:szCs w:val="32"/>
        </w:rPr>
      </w:pPr>
      <w:r>
        <w:rPr>
          <w:rFonts w:hint="eastAsia" w:eastAsia="仿宋"/>
          <w:b/>
          <w:bCs/>
          <w:sz w:val="32"/>
          <w:szCs w:val="32"/>
        </w:rPr>
        <w:t>建设黄河流域生态保护和高质量发展先行区示范市对消防协同提出新模式。</w:t>
      </w:r>
      <w:r>
        <w:rPr>
          <w:rFonts w:hint="eastAsia" w:eastAsia="仿宋"/>
          <w:sz w:val="32"/>
          <w:szCs w:val="32"/>
        </w:rPr>
        <w:t>自治区“十四五”规划对黄河流域提出了更高质量一体化发展的要求，在保障黄河长久安澜、贺兰山自然保护区生态修复及环境综合防治、经济转型发展创新区建设、黄河文化传承彰显等领域的区域开放合作和共享机制进一步深化。“十四五”时期，要在法制体制机制建设、火灾事故监测预警和防控机制建设、信息化建设、重点行业领域监管、黄河流域重点城市防灾减灾救灾一体化同城化等方面加强协作发展。</w:t>
      </w:r>
    </w:p>
    <w:p>
      <w:pPr>
        <w:adjustRightInd w:val="0"/>
        <w:snapToGrid w:val="0"/>
        <w:spacing w:line="600" w:lineRule="exact"/>
        <w:ind w:firstLine="643" w:firstLineChars="20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党委政府坚强领导是根本保证。</w:t>
      </w:r>
      <w:r>
        <w:rPr>
          <w:rFonts w:hint="eastAsia" w:eastAsia="仿宋"/>
          <w:color w:val="000000" w:themeColor="text1"/>
          <w:sz w:val="32"/>
          <w:szCs w:val="32"/>
          <w:highlight w:val="yellow"/>
          <w14:textFill>
            <w14:solidFill>
              <w14:schemeClr w14:val="tx1"/>
            </w14:solidFill>
          </w14:textFill>
        </w:rPr>
        <w:t>党委政府严格落实习近平总书记对消防救援工作和队伍建设给予特殊关爱，落实“四句话方针”，为消防救援队伍改革发展提供了科学指南和根本遵循。</w:t>
      </w:r>
      <w:r>
        <w:rPr>
          <w:rFonts w:hint="eastAsia" w:eastAsia="仿宋"/>
          <w:color w:val="000000" w:themeColor="text1"/>
          <w:sz w:val="32"/>
          <w:szCs w:val="32"/>
          <w14:textFill>
            <w14:solidFill>
              <w14:schemeClr w14:val="tx1"/>
            </w14:solidFill>
          </w14:textFill>
        </w:rPr>
        <w:t>坚持以人民为中心的发展思想，对消防救援工作作出重大决策部署，为防范化解重大安全风险、应对处置各类灾害事故指明了前进方向。党委政府集中统一领导的政治优势、集中力量办大事的体制优势，为有效履行消防救援核心职能提供了有力保障。</w:t>
      </w:r>
    </w:p>
    <w:p>
      <w:pPr>
        <w:adjustRightInd w:val="0"/>
        <w:snapToGrid w:val="0"/>
        <w:spacing w:line="600" w:lineRule="exact"/>
        <w:ind w:firstLine="643" w:firstLineChars="200"/>
        <w:rPr>
          <w:rFonts w:eastAsia="仿宋"/>
          <w:color w:val="000000" w:themeColor="text1"/>
          <w:sz w:val="32"/>
          <w:szCs w:val="32"/>
          <w:highlight w:val="yellow"/>
          <w14:textFill>
            <w14:solidFill>
              <w14:schemeClr w14:val="tx1"/>
            </w14:solidFill>
          </w14:textFill>
        </w:rPr>
      </w:pPr>
      <w:r>
        <w:rPr>
          <w:rFonts w:hint="eastAsia" w:eastAsia="仿宋"/>
          <w:b/>
          <w:bCs/>
          <w:color w:val="000000" w:themeColor="text1"/>
          <w:sz w:val="32"/>
          <w:szCs w:val="32"/>
          <w:highlight w:val="yellow"/>
          <w14:textFill>
            <w14:solidFill>
              <w14:schemeClr w14:val="tx1"/>
            </w14:solidFill>
          </w14:textFill>
        </w:rPr>
        <w:t>各级高度重视是消防工作发展的强大动力。</w:t>
      </w:r>
      <w:r>
        <w:rPr>
          <w:rFonts w:hint="eastAsia" w:eastAsia="仿宋"/>
          <w:color w:val="000000" w:themeColor="text1"/>
          <w:sz w:val="32"/>
          <w:szCs w:val="32"/>
          <w:highlight w:val="yellow"/>
          <w14:textFill>
            <w14:solidFill>
              <w14:schemeClr w14:val="tx1"/>
            </w14:solidFill>
          </w14:textFill>
        </w:rPr>
        <w:t>各级、各部门要支持关心消防工作，在政策、资金等方面加大倾斜力度。各级政府应加大投入，对消防站、消防装备、公共消防基础设施、消防通道和火灾隐患排查整治、重大应急救援、多种形式消防队伍建设、社会消防公益宣传等要安排专项经费。完善消防工作人员经费保障机制，将合同制消防员、消防文员经费和政府保障消防官兵的福利纳入财政预算。各县（区）对贫困的乡镇（街道）消防事业发展应给予经费扶持和政策倾斜。</w:t>
      </w:r>
    </w:p>
    <w:p>
      <w:pPr>
        <w:adjustRightInd w:val="0"/>
        <w:snapToGrid w:val="0"/>
        <w:spacing w:line="600" w:lineRule="exact"/>
        <w:ind w:firstLine="643" w:firstLineChars="20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经济社会新发展格局是有利契机。</w:t>
      </w:r>
      <w:r>
        <w:rPr>
          <w:rFonts w:hint="eastAsia" w:eastAsia="仿宋"/>
          <w:color w:val="000000" w:themeColor="text1"/>
          <w:sz w:val="32"/>
          <w:szCs w:val="32"/>
          <w14:textFill>
            <w14:solidFill>
              <w14:schemeClr w14:val="tx1"/>
            </w14:solidFill>
          </w14:textFill>
        </w:rPr>
        <w:t>新发展格局的加速形成，新型城镇化、区域协同化、城乡一体化的更高质量发展，将更加注重从“量”的增长到“质”和“量”的同步提高，有利于加强火灾防范能力、公共消防设施、消防救援力量、应急救援装备等建设，为加快推进消防救援改革发展孕育新契机。人民群众对幸福感、获得感、安全感的旺盛需求，促使公众消防安全素质不断提升，社会消防力量持续壮大，消防公益事业蓬勃发展，为推动消防治理体系和治理能力现代化汇聚起磅礴力量。</w:t>
      </w:r>
    </w:p>
    <w:p>
      <w:pPr>
        <w:adjustRightInd w:val="0"/>
        <w:snapToGrid w:val="0"/>
        <w:spacing w:line="600" w:lineRule="exact"/>
        <w:ind w:firstLine="643" w:firstLineChars="200"/>
        <w:rPr>
          <w:rFonts w:ascii="方正仿宋_GBK" w:eastAsia="方正仿宋_GBK" w:cs="方正仿宋_GBK"/>
          <w:bCs/>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新发展理念凝聚思想共识。</w:t>
      </w:r>
      <w:r>
        <w:rPr>
          <w:rFonts w:hint="eastAsia" w:eastAsia="仿宋"/>
          <w:color w:val="000000" w:themeColor="text1"/>
          <w:sz w:val="32"/>
          <w:szCs w:val="32"/>
          <w14:textFill>
            <w14:solidFill>
              <w14:schemeClr w14:val="tx1"/>
            </w14:solidFill>
          </w14:textFill>
        </w:rPr>
        <w:t>新发展理念已经成为自上而下越来越强的共识，贯彻到发展各领域和全过程。各级坚持“两个至上”，统筹发展和安全两件大事，强化底线思维和风险意识，对消防安全越来越重视，投入越来越大，采取的措施越来越务实有力，通过健全落实消防安全责任制，深化火灾隐患排查整治，强化综合应急救援准备，为消防救援工作注入源源不断的强大动力。</w:t>
      </w:r>
    </w:p>
    <w:p>
      <w:pPr>
        <w:snapToGrid w:val="0"/>
        <w:spacing w:line="620" w:lineRule="exact"/>
        <w:ind w:firstLine="643" w:firstLineChars="200"/>
        <w:rPr>
          <w:rFonts w:eastAsia="仿宋"/>
          <w:color w:val="000000" w:themeColor="text1"/>
          <w:sz w:val="32"/>
          <w:szCs w:val="32"/>
          <w14:textFill>
            <w14:solidFill>
              <w14:schemeClr w14:val="tx1"/>
            </w14:solidFill>
          </w14:textFill>
        </w:rPr>
      </w:pPr>
      <w:r>
        <w:rPr>
          <w:rFonts w:hint="eastAsia" w:eastAsia="仿宋"/>
          <w:b/>
          <w:bCs/>
          <w:color w:val="000000" w:themeColor="text1"/>
          <w:sz w:val="32"/>
          <w:szCs w:val="32"/>
          <w14:textFill>
            <w14:solidFill>
              <w14:schemeClr w14:val="tx1"/>
            </w14:solidFill>
          </w14:textFill>
        </w:rPr>
        <w:t>信息化应用是发展的重要支撑。</w:t>
      </w:r>
      <w:r>
        <w:rPr>
          <w:rFonts w:hint="eastAsia" w:eastAsia="仿宋"/>
          <w:color w:val="000000" w:themeColor="text1"/>
          <w:sz w:val="32"/>
          <w:szCs w:val="32"/>
          <w14:textFill>
            <w14:solidFill>
              <w14:schemeClr w14:val="tx1"/>
            </w14:solidFill>
          </w14:textFill>
        </w:rPr>
        <w:t>推进消防信息化建设，深入推进银川市消防信息化建设，建立健全新型信息化工作机制，全面转型升级信息化体系架构，通过优化架构、整合资源、深化应用，构建开放共享的智慧消防支撑体系，推动全市各级、各部门按照集中统一和开放共享的原则，有序开展业务系统建设，重点推进智能指挥、火灾监测预警预报等系统部署应用，推动全市应急通信队伍、装备、机制和能力素质提档升级，全面形成“火灾防控多元共治、应急救援科学智能、队伍管理正规精细、公众服务普惠便捷和应急通信融通可靠”的消防信息化新格局，全面提升全市社会火灾防控能力、灭火应急救援能力和队伍管理水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rPr>
          <w:color w:val="000000" w:themeColor="text1"/>
          <w14:textFill>
            <w14:solidFill>
              <w14:schemeClr w14:val="tx1"/>
            </w14:solidFill>
          </w14:textFill>
        </w:rPr>
      </w:pPr>
    </w:p>
    <w:p>
      <w:pPr>
        <w:pStyle w:val="3"/>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bookmarkStart w:id="46" w:name="_Toc26478"/>
      <w:r>
        <w:rPr>
          <w:rFonts w:hint="eastAsia" w:ascii="方正小标宋_GBK" w:hAnsi="Calibri" w:eastAsia="方正小标宋_GBK"/>
          <w:b w:val="0"/>
          <w:color w:val="000000" w:themeColor="text1"/>
          <w:sz w:val="36"/>
          <w:szCs w:val="36"/>
          <w14:textFill>
            <w14:solidFill>
              <w14:schemeClr w14:val="tx1"/>
            </w14:solidFill>
          </w14:textFill>
        </w:rPr>
        <w:t>第二章   指导思想、基本原则和主要目标</w:t>
      </w:r>
      <w:bookmarkEnd w:id="46"/>
    </w:p>
    <w:p>
      <w:pPr>
        <w:pStyle w:val="4"/>
        <w:rPr>
          <w:color w:val="000000" w:themeColor="text1"/>
          <w14:textFill>
            <w14:solidFill>
              <w14:schemeClr w14:val="tx1"/>
            </w14:solidFill>
          </w14:textFill>
        </w:rPr>
      </w:pPr>
      <w:bookmarkStart w:id="47" w:name="_Toc11728"/>
      <w:r>
        <w:rPr>
          <w:rFonts w:hint="eastAsia"/>
          <w:color w:val="000000" w:themeColor="text1"/>
          <w14:textFill>
            <w14:solidFill>
              <w14:schemeClr w14:val="tx1"/>
            </w14:solidFill>
          </w14:textFill>
        </w:rPr>
        <w:t>（一）指导思想</w:t>
      </w:r>
      <w:bookmarkEnd w:id="47"/>
    </w:p>
    <w:p>
      <w:pPr>
        <w:snapToGrid w:val="0"/>
        <w:spacing w:line="620" w:lineRule="exact"/>
        <w:ind w:firstLine="640" w:firstLineChars="200"/>
        <w:rPr>
          <w:rFonts w:eastAsia="仿宋"/>
          <w:color w:val="000000" w:themeColor="text1"/>
          <w:sz w:val="32"/>
          <w:szCs w:val="32"/>
          <w14:textFill>
            <w14:solidFill>
              <w14:schemeClr w14:val="tx1"/>
            </w14:solidFill>
          </w14:textFill>
        </w:rPr>
      </w:pPr>
      <w:r>
        <w:rPr>
          <w:rFonts w:hint="eastAsia" w:eastAsia="仿宋"/>
          <w:color w:val="000000" w:themeColor="text1"/>
          <w:sz w:val="32"/>
          <w:szCs w:val="32"/>
          <w14:textFill>
            <w14:solidFill>
              <w14:schemeClr w14:val="tx1"/>
            </w14:solidFill>
          </w14:textFill>
        </w:rPr>
        <w:t>以习近平新时代中国特色社会主义思想为指导，全面落实党的十九大和十九届二中、三中、四中、五中全会精神，紧紧围绕统筹推进“五位一体”总体布局和协调推进“四个全面”战略布局，坚持总体国家安全观，坚持人民至上、生命至上，统筹发展和安全，坚定不移走中国特色消防救援队伍建设新路子，围绕推进消防治理体系和治理能力现代化，统筹优化和有效衔接“防”与“救”的责任链条，加快建设一支正规化、专业化、职业化国家综合性消防救援队伍，全面提升防范化解重大安全风险、应对处置各类灾害事故的能力，有效维护人民群众生命财产安全和社会稳定，为建设社会主义现代化国家提供坚实的消防安全保障。</w:t>
      </w:r>
    </w:p>
    <w:p>
      <w:pPr>
        <w:snapToGrid w:val="0"/>
        <w:spacing w:line="620" w:lineRule="exact"/>
        <w:ind w:firstLine="640" w:firstLineChars="200"/>
        <w:rPr>
          <w:rFonts w:eastAsia="方正仿宋_GBK"/>
          <w:color w:val="000000" w:themeColor="text1"/>
          <w:sz w:val="32"/>
          <w:szCs w:val="32"/>
          <w:highlight w:val="yellow"/>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认真落实自治区党委十二届八次、九次全会决策部署，聚焦到2035年基本实现社会主义现代化的战略目标紧紧围绕“守好三条生命线、走出一条高质量发展的新路子”，建设经济繁荣民族团结环境优美人民富裕的美丽新银川总要求总目标，坚持以人民为中心，坚持新发展理念，</w:t>
      </w:r>
      <w:r>
        <w:rPr>
          <w:rFonts w:hint="eastAsia" w:ascii="仿宋_GB2312" w:hAnsi="宋体" w:eastAsia="仿宋_GB2312" w:cs="仿宋_GB2312"/>
          <w:color w:val="000000" w:themeColor="text1"/>
          <w:sz w:val="32"/>
          <w:szCs w:val="32"/>
          <w:highlight w:val="yellow"/>
          <w14:textFill>
            <w14:solidFill>
              <w14:schemeClr w14:val="tx1"/>
            </w14:solidFill>
          </w14:textFill>
        </w:rPr>
        <w:t>确保拟编制的规划体现新时代特征、体现改革方向、体现新征程起步要求。</w:t>
      </w:r>
    </w:p>
    <w:p>
      <w:pPr>
        <w:pStyle w:val="4"/>
        <w:rPr>
          <w:color w:val="000000" w:themeColor="text1"/>
          <w14:textFill>
            <w14:solidFill>
              <w14:schemeClr w14:val="tx1"/>
            </w14:solidFill>
          </w14:textFill>
        </w:rPr>
      </w:pPr>
      <w:bookmarkStart w:id="48" w:name="_Toc17355"/>
      <w:r>
        <w:rPr>
          <w:rFonts w:hint="eastAsia"/>
          <w:color w:val="000000" w:themeColor="text1"/>
          <w14:textFill>
            <w14:solidFill>
              <w14:schemeClr w14:val="tx1"/>
            </w14:solidFill>
          </w14:textFill>
        </w:rPr>
        <w:t>（二）基本原则</w:t>
      </w:r>
      <w:bookmarkEnd w:id="48"/>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——坚持党的绝对领导。</w:t>
      </w:r>
      <w:r>
        <w:rPr>
          <w:rFonts w:hint="eastAsia" w:ascii="仿宋_GB2312" w:hAnsi="宋体" w:eastAsia="仿宋_GB2312" w:cs="仿宋_GB2312"/>
          <w:color w:val="000000" w:themeColor="text1"/>
          <w:sz w:val="32"/>
          <w:szCs w:val="32"/>
          <w14:textFill>
            <w14:solidFill>
              <w14:schemeClr w14:val="tx1"/>
            </w14:solidFill>
          </w14:textFill>
        </w:rPr>
        <w:t>始终把习近平总书记重要训词作为根本指引，坚持党对消防救援事业的绝对领导，提高各级党组织把方向、谋大局、定政策、促改革的定力和能力，强化政治自觉和责任担当，把党的政治优势、组织优势和制度优势转化为发展优势，为消防治理体系和治理能力建设凝聚力量、提供保障。</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——坚持践行两个至上。</w:t>
      </w:r>
      <w:r>
        <w:rPr>
          <w:rFonts w:hint="eastAsia" w:ascii="仿宋_GB2312" w:hAnsi="宋体" w:eastAsia="仿宋_GB2312" w:cs="仿宋_GB2312"/>
          <w:color w:val="000000" w:themeColor="text1"/>
          <w:sz w:val="32"/>
          <w:szCs w:val="32"/>
          <w14:textFill>
            <w14:solidFill>
              <w14:schemeClr w14:val="tx1"/>
            </w14:solidFill>
          </w14:textFill>
        </w:rPr>
        <w:t>牢固树立以人民为中心的发展理念，正确处理好安全与发展、安全与效益的关系，做到协调一致、齐头并进，有效防范和化解重大消防安全风险，尽最大努力减少火灾事故，应对处置各类灾害事故，全力保障人民群众生命财产安全。</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——坚持深化改革转型。</w:t>
      </w:r>
      <w:r>
        <w:rPr>
          <w:rFonts w:hint="eastAsia" w:ascii="仿宋_GB2312" w:hAnsi="宋体" w:eastAsia="仿宋_GB2312" w:cs="仿宋_GB2312"/>
          <w:color w:val="000000" w:themeColor="text1"/>
          <w:sz w:val="32"/>
          <w:szCs w:val="32"/>
          <w14:textFill>
            <w14:solidFill>
              <w14:schemeClr w14:val="tx1"/>
            </w14:solidFill>
          </w14:textFill>
        </w:rPr>
        <w:t>服从服务党和国家发展大局，准确把握经济社会发展阶段性变化和消防工作特点，积极融入和服务国家新发展格局，加快改革消防工作和消防救援队伍体制机制，突出系统性、针对性、协同性，固根基、补短板、强弱项、扬优势，不断推进消防工作体制机制完善和发展。</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——坚持创新消防治理。</w:t>
      </w:r>
      <w:r>
        <w:rPr>
          <w:rFonts w:hint="eastAsia" w:ascii="仿宋_GB2312" w:hAnsi="宋体" w:eastAsia="仿宋_GB2312" w:cs="仿宋_GB2312"/>
          <w:color w:val="000000" w:themeColor="text1"/>
          <w:sz w:val="32"/>
          <w:szCs w:val="32"/>
          <w14:textFill>
            <w14:solidFill>
              <w14:schemeClr w14:val="tx1"/>
            </w14:solidFill>
          </w14:textFill>
        </w:rPr>
        <w:t>围绕推进消防治理体系和治理能力现代化，建立完善隐患排查治理体系和安全预防控制体系，着力解决消防安全领域的深层次问题，强化特大城市、城市群消防治理，深化区域协同发展，提升消防治理系统化、科学化、智能化、法治化水平。加快建设中国特色消防救援力量体系，提升综合应急救援能力，高效履行应急救援主力军、国家队职责使命。</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——坚持科技引领支撑。</w:t>
      </w:r>
      <w:r>
        <w:rPr>
          <w:rFonts w:hint="eastAsia" w:ascii="仿宋_GB2312" w:hAnsi="宋体" w:eastAsia="仿宋_GB2312" w:cs="仿宋_GB2312"/>
          <w:color w:val="000000" w:themeColor="text1"/>
          <w:sz w:val="32"/>
          <w:szCs w:val="32"/>
          <w14:textFill>
            <w14:solidFill>
              <w14:schemeClr w14:val="tx1"/>
            </w14:solidFill>
          </w14:textFill>
        </w:rPr>
        <w:t>全面融入科技强国战略和“智慧城市”、安全城市建设，注重科技创新赋能消防发展，优化整合消防科技资源，推进新一代信息技术、人工智能、新材料和新能源技术等前沿科技在消防领域深度应用，培育壮大消防发展新动能。</w:t>
      </w:r>
    </w:p>
    <w:p>
      <w:pPr>
        <w:pStyle w:val="4"/>
        <w:rPr>
          <w:color w:val="000000" w:themeColor="text1"/>
          <w14:textFill>
            <w14:solidFill>
              <w14:schemeClr w14:val="tx1"/>
            </w14:solidFill>
          </w14:textFill>
        </w:rPr>
      </w:pPr>
      <w:bookmarkStart w:id="49" w:name="_Toc18083"/>
      <w:r>
        <w:rPr>
          <w:rFonts w:hint="eastAsia"/>
          <w:color w:val="000000" w:themeColor="text1"/>
          <w14:textFill>
            <w14:solidFill>
              <w14:schemeClr w14:val="tx1"/>
            </w14:solidFill>
          </w14:textFill>
        </w:rPr>
        <w:t>（三）主要目标</w:t>
      </w:r>
      <w:bookmarkEnd w:id="49"/>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到2025年，全市消防工作实现新跨越，消防安全责任体系更加完善，消防投入大幅增长，消防安全环境明显优化，群众消防安全素质明显提升，地方消防立法取得重大进展，消防工作总体水平增强。</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——消防安全形势总体稳定。</w:t>
      </w:r>
      <w:r>
        <w:rPr>
          <w:rFonts w:hint="eastAsia" w:ascii="仿宋_GB2312" w:hAnsi="宋体" w:eastAsia="仿宋_GB2312" w:cs="仿宋_GB2312"/>
          <w:color w:val="000000" w:themeColor="text1"/>
          <w:sz w:val="32"/>
          <w:szCs w:val="32"/>
          <w14:textFill>
            <w14:solidFill>
              <w14:schemeClr w14:val="tx1"/>
            </w14:solidFill>
          </w14:textFill>
        </w:rPr>
        <w:t>社会消防安全环境明显改善，年度10万人口火灾死亡率小于0.26，确保亿元GDP火灾直接财产损失控制在1万元以内。坚决杜绝重特大和群死群伤火灾事故，坚决遏制较大火灾事故，努力减少一般火灾事故发生，全力保持我市火灾形势的持续平稳。</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——消防责任体系不断完善。</w:t>
      </w:r>
      <w:r>
        <w:rPr>
          <w:rFonts w:hint="eastAsia" w:ascii="仿宋_GB2312" w:hAnsi="宋体" w:eastAsia="仿宋_GB2312" w:cs="仿宋_GB2312"/>
          <w:color w:val="000000" w:themeColor="text1"/>
          <w:sz w:val="32"/>
          <w:szCs w:val="32"/>
          <w14:textFill>
            <w14:solidFill>
              <w14:schemeClr w14:val="tx1"/>
            </w14:solidFill>
          </w14:textFill>
        </w:rPr>
        <w:t>按照习近平总书记“管行业必须管安全，管业务必须管安全、管生产必须管安全，而且要党政同责、一岗双责、齐抓共管”的要求，坚持推动政府统一领导、部门依法监管、单位全面负责的消防工作社会化格局全面落实。推进法治消防建设，实现全部乡镇（街道）、重点村（居）消防安全网格化实体化运作，深化社会单位消防安全“四个能力”建设和重点单位“户籍化”管理。</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——社会消防管理水平不断提升。</w:t>
      </w:r>
      <w:r>
        <w:rPr>
          <w:rFonts w:hint="eastAsia" w:ascii="仿宋_GB2312" w:hAnsi="宋体" w:eastAsia="仿宋_GB2312" w:cs="仿宋_GB2312"/>
          <w:color w:val="000000" w:themeColor="text1"/>
          <w:sz w:val="32"/>
          <w:szCs w:val="32"/>
          <w14:textFill>
            <w14:solidFill>
              <w14:schemeClr w14:val="tx1"/>
            </w14:solidFill>
          </w14:textFill>
        </w:rPr>
        <w:t>紧紧抓住社会消防信用体系构建和智慧消防建设的契机，积极搭建各负其责、人人尽责的社会消防管理体系，实现火灾隐患排查整治、消防监督执法规范化、消防宣传教育、社会消防管理创新的全面提高。</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——消防基础设施不断夯实。</w:t>
      </w:r>
      <w:r>
        <w:rPr>
          <w:rFonts w:hint="eastAsia" w:ascii="仿宋_GB2312" w:hAnsi="宋体" w:eastAsia="仿宋_GB2312" w:cs="仿宋_GB2312"/>
          <w:color w:val="000000" w:themeColor="text1"/>
          <w:sz w:val="32"/>
          <w:szCs w:val="32"/>
          <w14:textFill>
            <w14:solidFill>
              <w14:schemeClr w14:val="tx1"/>
            </w14:solidFill>
          </w14:textFill>
        </w:rPr>
        <w:t>全市所有县（区）、乡镇（街道）全部完成消防专项规划编制任务，并抓好规划实施；完成银川消防培训基地、在建消防站建设并投入使用；市政消火栓建成率达到100%，完好率达到98%以上。</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——多种形式消防力量快速发展。</w:t>
      </w:r>
      <w:r>
        <w:rPr>
          <w:rFonts w:hint="eastAsia" w:ascii="仿宋_GB2312" w:hAnsi="宋体" w:eastAsia="仿宋_GB2312" w:cs="仿宋_GB2312"/>
          <w:color w:val="000000" w:themeColor="text1"/>
          <w:sz w:val="32"/>
          <w:szCs w:val="32"/>
          <w14:textFill>
            <w14:solidFill>
              <w14:schemeClr w14:val="tx1"/>
            </w14:solidFill>
          </w14:textFill>
        </w:rPr>
        <w:t>大力发展多种形式消防队伍，加快布点城市政府专职消防队，所有乡镇（街道）建成乡镇专职消防队，所有村（居）建成微型消防站，现役消防站、政府专职消防队、乡镇专职消防队、微型消防站四级灭火救援网络初步形成。</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——消防装备器材不断优化。</w:t>
      </w:r>
      <w:r>
        <w:rPr>
          <w:rFonts w:hint="eastAsia" w:ascii="仿宋_GB2312" w:hAnsi="宋体" w:eastAsia="仿宋_GB2312" w:cs="仿宋_GB2312"/>
          <w:color w:val="000000" w:themeColor="text1"/>
          <w:sz w:val="32"/>
          <w:szCs w:val="32"/>
          <w14:textFill>
            <w14:solidFill>
              <w14:schemeClr w14:val="tx1"/>
            </w14:solidFill>
          </w14:textFill>
        </w:rPr>
        <w:t>按照“标准配备与实战需求、常规配备与攻坚配备、基本配备与针对性配备相结合”的原则，根据辖区保卫对象和灾害事故特点，逐步调整和优化装备配备结构。全面推动装备建设从数量规模型向质量效能型转变，最大限度实现人与装备的有机结合，促进灭火救援核心战斗力有效提升。</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——全民消防素质明显提高。</w:t>
      </w:r>
      <w:r>
        <w:rPr>
          <w:rFonts w:hint="eastAsia" w:ascii="仿宋_GB2312" w:hAnsi="宋体" w:eastAsia="仿宋_GB2312" w:cs="仿宋_GB2312"/>
          <w:color w:val="000000" w:themeColor="text1"/>
          <w:sz w:val="32"/>
          <w:szCs w:val="32"/>
          <w14:textFill>
            <w14:solidFill>
              <w14:schemeClr w14:val="tx1"/>
            </w14:solidFill>
          </w14:textFill>
        </w:rPr>
        <w:t>落实《全民消防安全宣传教育纲要》，消防宣传“七进”活动深入推进。全民消防安全意识显著提高，扑救初起火灾和火场逃生自救能力明显增强，全民消防安全常识知晓率明显提高。</w:t>
      </w:r>
    </w:p>
    <w:tbl>
      <w:tblPr>
        <w:tblStyle w:val="15"/>
        <w:tblW w:w="502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0"/>
        <w:gridCol w:w="4140"/>
        <w:gridCol w:w="3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5000" w:type="pct"/>
            <w:gridSpan w:val="3"/>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专栏1：具体指标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606"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序号</w:t>
            </w:r>
          </w:p>
        </w:tc>
        <w:tc>
          <w:tcPr>
            <w:tcW w:w="2260"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指标内容</w:t>
            </w:r>
          </w:p>
        </w:tc>
        <w:tc>
          <w:tcPr>
            <w:tcW w:w="2132"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预期值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606"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w:t>
            </w:r>
          </w:p>
        </w:tc>
        <w:tc>
          <w:tcPr>
            <w:tcW w:w="2260"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火灾起数</w:t>
            </w:r>
          </w:p>
        </w:tc>
        <w:tc>
          <w:tcPr>
            <w:tcW w:w="2132"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年均800起/百万人口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606"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w:t>
            </w:r>
          </w:p>
        </w:tc>
        <w:tc>
          <w:tcPr>
            <w:tcW w:w="2260"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火灾事故死亡人数</w:t>
            </w:r>
          </w:p>
        </w:tc>
        <w:tc>
          <w:tcPr>
            <w:tcW w:w="2132"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年均2.5人/百万人口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606"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3</w:t>
            </w:r>
          </w:p>
        </w:tc>
        <w:tc>
          <w:tcPr>
            <w:tcW w:w="2260"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火灾直接财产损失</w:t>
            </w:r>
          </w:p>
        </w:tc>
        <w:tc>
          <w:tcPr>
            <w:tcW w:w="2132"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年均1.5万元以下/亿元GDP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606"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4</w:t>
            </w:r>
          </w:p>
        </w:tc>
        <w:tc>
          <w:tcPr>
            <w:tcW w:w="2260"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到期消防规划修编率</w:t>
            </w:r>
          </w:p>
        </w:tc>
        <w:tc>
          <w:tcPr>
            <w:tcW w:w="2132"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606"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5</w:t>
            </w:r>
          </w:p>
        </w:tc>
        <w:tc>
          <w:tcPr>
            <w:tcW w:w="2260"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市政消火栓建设率</w:t>
            </w:r>
          </w:p>
        </w:tc>
        <w:tc>
          <w:tcPr>
            <w:tcW w:w="2132"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606"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6</w:t>
            </w:r>
          </w:p>
        </w:tc>
        <w:tc>
          <w:tcPr>
            <w:tcW w:w="2260"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市政消火栓完好率</w:t>
            </w:r>
          </w:p>
        </w:tc>
        <w:tc>
          <w:tcPr>
            <w:tcW w:w="2132"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606"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7</w:t>
            </w:r>
          </w:p>
        </w:tc>
        <w:tc>
          <w:tcPr>
            <w:tcW w:w="2260"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公众消防常识知晓率</w:t>
            </w:r>
          </w:p>
        </w:tc>
        <w:tc>
          <w:tcPr>
            <w:tcW w:w="2132"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trPr>
        <w:tc>
          <w:tcPr>
            <w:tcW w:w="606"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8</w:t>
            </w:r>
          </w:p>
        </w:tc>
        <w:tc>
          <w:tcPr>
            <w:tcW w:w="2260"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消防站及训练基地建设</w:t>
            </w:r>
          </w:p>
        </w:tc>
        <w:tc>
          <w:tcPr>
            <w:tcW w:w="2132" w:type="pct"/>
            <w:vAlign w:val="center"/>
          </w:tcPr>
          <w:p>
            <w:pPr>
              <w:widowControl/>
              <w:spacing w:line="3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14个</w:t>
            </w:r>
          </w:p>
        </w:tc>
      </w:tr>
    </w:tbl>
    <w:p>
      <w:pPr>
        <w:snapToGrid w:val="0"/>
        <w:spacing w:line="620" w:lineRule="exact"/>
        <w:ind w:firstLine="643" w:firstLineChars="200"/>
        <w:rPr>
          <w:rFonts w:ascii="仿宋_GB2312" w:hAnsi="宋体" w:eastAsia="仿宋_GB2312" w:cs="仿宋_GB2312"/>
          <w:b/>
          <w:bCs/>
          <w:color w:val="000000" w:themeColor="text1"/>
          <w:sz w:val="32"/>
          <w:szCs w:val="32"/>
          <w14:textFill>
            <w14:solidFill>
              <w14:schemeClr w14:val="tx1"/>
            </w14:solidFill>
          </w14:textFill>
        </w:rPr>
      </w:pPr>
    </w:p>
    <w:p>
      <w:pPr>
        <w:rPr>
          <w:rFonts w:ascii="仿宋_GB2312" w:hAnsi="宋体" w:eastAsia="仿宋_GB2312" w:cs="仿宋_GB2312"/>
          <w:color w:val="000000" w:themeColor="text1"/>
          <w:sz w:val="32"/>
          <w:szCs w:val="32"/>
          <w14:textFill>
            <w14:solidFill>
              <w14:schemeClr w14:val="tx1"/>
            </w14:solidFill>
          </w14:textFill>
        </w:rPr>
      </w:pPr>
      <w:r>
        <w:rPr>
          <w:rFonts w:hint="eastAsia" w:eastAsia="仿宋"/>
          <w:color w:val="000000" w:themeColor="text1"/>
          <w:sz w:val="32"/>
          <w:szCs w:val="32"/>
          <w14:textFill>
            <w14:solidFill>
              <w14:schemeClr w14:val="tx1"/>
            </w14:solidFill>
          </w14:textFill>
        </w:rPr>
        <w:br w:type="page"/>
      </w:r>
    </w:p>
    <w:p>
      <w:pPr>
        <w:pStyle w:val="3"/>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bookmarkStart w:id="50" w:name="_Toc12080"/>
      <w:r>
        <w:rPr>
          <w:rFonts w:hint="eastAsia" w:ascii="方正小标宋_GBK" w:hAnsi="Calibri" w:eastAsia="方正小标宋_GBK"/>
          <w:b w:val="0"/>
          <w:color w:val="000000" w:themeColor="text1"/>
          <w:sz w:val="36"/>
          <w:szCs w:val="36"/>
          <w14:textFill>
            <w14:solidFill>
              <w14:schemeClr w14:val="tx1"/>
            </w14:solidFill>
          </w14:textFill>
        </w:rPr>
        <w:t>第三章   防范化解重大消防安全风险，增强重特大火灾事故抵御韧性</w:t>
      </w:r>
      <w:bookmarkEnd w:id="50"/>
    </w:p>
    <w:p>
      <w:pPr>
        <w:pStyle w:val="4"/>
        <w:rPr>
          <w:color w:val="000000" w:themeColor="text1"/>
          <w14:textFill>
            <w14:solidFill>
              <w14:schemeClr w14:val="tx1"/>
            </w14:solidFill>
          </w14:textFill>
        </w:rPr>
      </w:pPr>
      <w:bookmarkStart w:id="51" w:name="_Toc9212"/>
      <w:r>
        <w:rPr>
          <w:rFonts w:hint="eastAsia"/>
          <w:color w:val="000000" w:themeColor="text1"/>
          <w14:textFill>
            <w14:solidFill>
              <w14:schemeClr w14:val="tx1"/>
            </w14:solidFill>
          </w14:textFill>
        </w:rPr>
        <w:t>（一）压实消防工作责任</w:t>
      </w:r>
      <w:bookmarkEnd w:id="51"/>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推动消防安全责任落实。加快建立“管行业必须管安全、管业务必须管安全、管生产经营必须管安全”和“谁主管谁负责”的消防安全责任制。建立消防工作巡查制度，完善政府年度消防工作考核机制，巡查、考核结果作为政府综合考核评价的重要依据。</w:t>
      </w:r>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加强消防工作统筹协调。强化部门会商研判，加强对全市消防工作的统筹协调和督促指导。设立常态运行的办公机构，建立健全火灾警示约谈、重大隐患挂牌督办、消防安全重大问题问责、重大问题抄告反馈等制度，形成综合治理合力。</w:t>
      </w:r>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提升行业消防管理水平。推动教育、民政、文化旅游、卫生健康、文物等部门，建立完善行业消防安全管理制度，实施标准化、规范化管理。推动自然资源、住建、市场监管、审批管理等部门，建立信息共享、执法衔接、移交查办等制度，加强项目审批环节、工程建设领域和电气、电动车、消防产品等生产流通领域的源头监管。健全与行业部门分析评估、定期会商、联合执法等机制，针对突出隐患问题组织集中整治。</w:t>
      </w:r>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强化单位风险隐患自查自改。全面推行单位风险隐患“自知、自查、自改”和公示承诺、风险申报制度，分类编制火灾风险指南和检查指引。强化社会单位“四个能力”建设，健全消防安全自主管理机制，培养单位消防安全管理“明白人”。连锁经营企业、集团企业建立企业消防安全管理制度标准体系，加强系统治理、规范管理。</w:t>
      </w:r>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2021年，根据新《消防法》修正和部门规章制度修订情况和消防安全专项整治三年行动工作要求，及时制定和完善各类社会单位消防安全标准化管理、农村消防安全管理、消防产品质量监督、社会技术服务机构管理和消防科技成果应用等方面的地方性法规、规章和技术标准。2022年，研究制定消防事故相关工作规章制度，根据火灾等级，由各级消防安全委员会牵头，对火灾事故相关责任进行核查认定，与党委、政府、纪检监察机关建立火灾调查报告移交机制，依法加强对消防工作失职渎职的责任追究。2023年，建立人大监督消防工作常态机制，定期听取消防工作汇报并督办各级政府、部门履行消防工作职责。进一步规范、健全基层乡镇（街道）消防组织机构建设，实体运行基层消防安全委员会，明确消防安全管理部门和专（兼）职人员，并报县（区）消防安全委员会办公室备案，依法履行消防管理职责。</w:t>
      </w:r>
    </w:p>
    <w:p>
      <w:pPr>
        <w:pStyle w:val="4"/>
        <w:numPr>
          <w:ilvl w:val="0"/>
          <w:numId w:val="2"/>
        </w:numPr>
        <w:rPr>
          <w:color w:val="000000" w:themeColor="text1"/>
          <w14:textFill>
            <w14:solidFill>
              <w14:schemeClr w14:val="tx1"/>
            </w14:solidFill>
          </w14:textFill>
        </w:rPr>
      </w:pPr>
      <w:bookmarkStart w:id="52" w:name="_Toc30002"/>
      <w:r>
        <w:rPr>
          <w:rFonts w:hint="eastAsia"/>
          <w:color w:val="000000" w:themeColor="text1"/>
          <w14:textFill>
            <w14:solidFill>
              <w14:schemeClr w14:val="tx1"/>
            </w14:solidFill>
          </w14:textFill>
        </w:rPr>
        <w:t>构建新型监管模式</w:t>
      </w:r>
      <w:bookmarkEnd w:id="52"/>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加强消防执法监管。深化消防执法改革，全面推行适应新产业、新业态、新模式特点的“五位一体”新型监管模式。优化“双随机、一公开”监管，提高对火灾高风险场所、严重违法失信对象的抽查率。强化重点监管，聚焦火灾多发行业领域和重大节日、重要节点，盯紧突出风险隐患和违法行为，精准检查、从严监管。</w:t>
      </w:r>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实施“互联网+”监管。通过物联网监控系统实施消防安全远程监督，利用信息技术装备实施移动执法、线上管理，提高监管能力和效率。加快“放管服”改革，通过地方政务系统共享有关部门证照、许可等信息，全面推行容缺后补、绿色通道、邮寄送达等措施。融入地方政府“一网通办”等政务服务平台，积极推行预约办理、同城通办、跨层联办等服务方式。</w:t>
      </w:r>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加强消防信用监管。建立完善消防安全领域信用管理办法和机制，将消防失信信息录入全国和地方信用信息共享平台，对消防领域严重失信单位和个人实施联合惩戒。</w:t>
      </w:r>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严格火灾调查问责。加强火灾调查处理工作，强化延伸调查、案例复盘结果应用，会同有关部门强化管理、完善标准、堵塞漏洞，对造成人员死亡或重大社会影响的火灾严格倒查问责。同一地域反复发生同类火灾的，从严调查处理。</w:t>
      </w:r>
    </w:p>
    <w:p>
      <w:pPr>
        <w:pStyle w:val="4"/>
        <w:numPr>
          <w:ilvl w:val="0"/>
          <w:numId w:val="2"/>
        </w:numPr>
        <w:rPr>
          <w:color w:val="000000" w:themeColor="text1"/>
          <w14:textFill>
            <w14:solidFill>
              <w14:schemeClr w14:val="tx1"/>
            </w14:solidFill>
          </w14:textFill>
        </w:rPr>
      </w:pPr>
      <w:bookmarkStart w:id="53" w:name="_Toc499"/>
      <w:r>
        <w:rPr>
          <w:rFonts w:hint="eastAsia"/>
          <w:color w:val="000000" w:themeColor="text1"/>
          <w14:textFill>
            <w14:solidFill>
              <w14:schemeClr w14:val="tx1"/>
            </w14:solidFill>
          </w14:textFill>
        </w:rPr>
        <w:t>加强精准高效治理</w:t>
      </w:r>
      <w:bookmarkEnd w:id="53"/>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加强风险评估管理。加强中心城区、苏银产业园等区域消防安全状况评估，结合城市全生命周期管理、精细化治理，有效防范化解全局性、系统性风险。开展消防安全风险防控体系研究，完善特大城市消防治理体制机制，落实更高标准的火灾防范措施。加强风险治理决策研究，定期研判新材料、新产品、新业态的消防安全风险，建立早发现、早预警、早防范机制。</w:t>
      </w:r>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全面推行专家检查制度。分级组建消防安全专家库，分行业领域成立专家组，建立推行专家检查制度。采取政府购买服务等方式，开展高风险场所消防检查、专业评估和隐患整改。针对规律性、普遍性重大消防安全风险问题，协调相关行业专家开展专题研究、分析研判，制定综合治理意见。</w:t>
      </w:r>
    </w:p>
    <w:p>
      <w:pPr>
        <w:snapToGrid w:val="0"/>
        <w:spacing w:line="620" w:lineRule="exact"/>
        <w:ind w:firstLine="640" w:firstLineChars="200"/>
        <w:jc w:val="lef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发挥保险制度作用。鼓励引导公众聚集场所投保火灾公众责任险，推动保险公司建立完善检查评估制度，将单位消防安全条件与保险费率、理赔标准挂钩，发挥保险机构参与火灾风险评估、火灾事故预防等作用。</w:t>
      </w:r>
    </w:p>
    <w:p>
      <w:pPr>
        <w:pStyle w:val="4"/>
        <w:numPr>
          <w:ilvl w:val="0"/>
          <w:numId w:val="2"/>
        </w:numPr>
        <w:rPr>
          <w:color w:val="000000" w:themeColor="text1"/>
          <w14:textFill>
            <w14:solidFill>
              <w14:schemeClr w14:val="tx1"/>
            </w14:solidFill>
          </w14:textFill>
        </w:rPr>
      </w:pPr>
      <w:bookmarkStart w:id="54" w:name="_Toc27898"/>
      <w:r>
        <w:rPr>
          <w:rFonts w:hint="eastAsia"/>
          <w:color w:val="000000" w:themeColor="text1"/>
          <w14:textFill>
            <w14:solidFill>
              <w14:schemeClr w14:val="tx1"/>
            </w14:solidFill>
          </w14:textFill>
        </w:rPr>
        <w:t>健全火灾隐患排查体系</w:t>
      </w:r>
      <w:bookmarkEnd w:id="54"/>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全面建成常态化火灾隐患排查治理机制。</w:t>
      </w:r>
      <w:r>
        <w:rPr>
          <w:rFonts w:hint="eastAsia" w:ascii="仿宋_GB2312" w:hAnsi="宋体" w:eastAsia="仿宋_GB2312" w:cs="仿宋_GB2312"/>
          <w:color w:val="000000" w:themeColor="text1"/>
          <w:sz w:val="32"/>
          <w:szCs w:val="32"/>
          <w14:textFill>
            <w14:solidFill>
              <w14:schemeClr w14:val="tx1"/>
            </w14:solidFill>
          </w14:textFill>
        </w:rPr>
        <w:t>建立以消防安全责任、消防法制、重点管控、宣传教育、社会治理、综合保障、应急救援、工作考核为重点的城市公共安全火灾防控体系，为“平安银川”建设提供可量化的消防安全标准。因地制宜加强区域性火灾隐患整治工作，引入发达地区经验，采取政府购买第三方服务的方式，吸纳第三方作为专业技术力量参与派出所、社区监管范围内的城中村、“三小”场所、烂尾楼、违章建筑、劳动密集型企业等消防安全隐患。严格落实重大火灾隐患政府挂牌督办、公告、曝光制度以及不良行为公示制度，各级人民政府每年挂牌督办一批重大火灾隐患，并组织相关部门督促整改，按期组织隐患整改验收，督促整改隐患和减少消防安全不良行为。健全火灾预警发布机制，建立重大火灾隐患函告制度，完善“96119”举报投诉机制，探索建设“96119”APP信息服务平台，实现举报证据实时上传、及时判定、及时处理、及时支付奖励资金等功能，引导全社会做好火灾防范工作。</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全面加强重点领域消防安全监管。</w:t>
      </w:r>
      <w:r>
        <w:rPr>
          <w:rFonts w:hint="eastAsia" w:ascii="仿宋_GB2312" w:hAnsi="宋体" w:eastAsia="仿宋_GB2312" w:cs="仿宋_GB2312"/>
          <w:color w:val="000000" w:themeColor="text1"/>
          <w:sz w:val="32"/>
          <w:szCs w:val="32"/>
          <w14:textFill>
            <w14:solidFill>
              <w14:schemeClr w14:val="tx1"/>
            </w14:solidFill>
          </w14:textFill>
        </w:rPr>
        <w:t>持续推进重点场所、重点时段的专项检查行动，做好重大活动的消防安全保卫工作，突出重点地区、关键节点、重要时段火灾隐患排查整治，建立火灾隐患专项排查治理常态机制，不断推进、落实、强化社会面的消防管控工作，有效消除火灾隐患。按照“政府统筹实施、部门分工推进、单位自查自纠、基层群防群治、鼓励公民参与”的原则，以人员密集场所、易燃易爆单位、建筑消防设施、文物古建筑、消防车通道等为重点对象，有针对性地开展专项治理活动，制定整治工作规划，明确整改措施、责任、资金和时限，着力解决严重威胁公共消防安全的突出隐患和问题，坚决遏制群死群伤火灾事故的发生。在生产、销售和使用领域开展为期五年的强制性认证消防产品联合专项整治，杜绝无证生产、销售的违法行为，严厉打击制假、售假和用假等违法行为。</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全面推进基层消防安全网格化管理。</w:t>
      </w:r>
      <w:r>
        <w:rPr>
          <w:rFonts w:hint="eastAsia" w:ascii="仿宋_GB2312" w:hAnsi="宋体" w:eastAsia="仿宋_GB2312" w:cs="仿宋_GB2312"/>
          <w:color w:val="000000" w:themeColor="text1"/>
          <w:sz w:val="32"/>
          <w:szCs w:val="32"/>
          <w14:textFill>
            <w14:solidFill>
              <w14:schemeClr w14:val="tx1"/>
            </w14:solidFill>
          </w14:textFill>
        </w:rPr>
        <w:t>持续开展政府挂牌督办火灾隐患重点地区整治工作，推动乡镇（街道）全员开展整治工作，全面摸排，分类整治，全力提升基层抗御火灾风险能力。将消防安全网格纳入综治管理网格之中，按照“有专门机构、有专职人员、有预算经费、有办公场所”的标准建立网格管理中心，全面实体运作消防安全网格化管理。建设网格管理信息系统，与综治管理信息平台，制定标准、规范流程、明确职责，建立基础信息数据库，实现智能化管理。2021年，60%的乡镇（街道）消防安全网格化实现规范化管理，2023年，全部实现规范化管理。</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加强农村火灾防控。</w:t>
      </w:r>
      <w:r>
        <w:rPr>
          <w:rFonts w:hint="eastAsia" w:ascii="仿宋_GB2312" w:hAnsi="宋体" w:eastAsia="仿宋_GB2312" w:cs="仿宋_GB2312"/>
          <w:color w:val="000000" w:themeColor="text1"/>
          <w:sz w:val="32"/>
          <w:szCs w:val="32"/>
          <w14:textFill>
            <w14:solidFill>
              <w14:schemeClr w14:val="tx1"/>
            </w14:solidFill>
          </w14:textFill>
        </w:rPr>
        <w:t>落实“乡村振兴”战略，结合村庄整治和小城镇及拆村并城等工作，将乡村消防工作纳入市、县国土空间总体规划和村庄规划，统筹推进消防基础设施建设和维护管理。结合人畜饮水工程，在有管网供水和天然水源丰富的乡村，按标准建设消火栓、取水设施；在缺水乡村采取修建消防水池、水窖，配置适合农村地区使用的消防车、手抬机动泵、水枪和水带等消防器材装备。结合乡村房改、电改、灶改等工作，有计划地改造防火间距不足、耐火等级不高的村庄，加快乡村电气线路、炉灶等用火用电安全改造升级，有效降低火灾风险。结合自治区“四好农村路”等工程建设，因地制宜，统筹建设满足消防车通行的乡村道路。加强对工业园、特色小镇、小微企业、供港蔬菜基地、设施农业、休闲农业等乡村新兴产业消防安全评估和管理。加强乡村防灾减灾救灾能力建设，积极推进符合建队标准的乡镇按标准建成专职消防队，未建专职消防队的乡镇全部建立志愿消防队，鼓励常住人口超千人的村建立志愿消防队。积极推进易地扶贫搬迁安置点（区）按标准建设专职消防队、志愿消防队和微型消防站，配备相应的队员、装备，提升安置点（区）应急处置能力。建立定期培训演练的常态机制，提高初起火灾扑救能力，提升乡村抗御火灾水平。</w:t>
      </w:r>
    </w:p>
    <w:p>
      <w:pPr>
        <w:snapToGrid w:val="0"/>
        <w:spacing w:line="620" w:lineRule="exact"/>
        <w:ind w:firstLine="643" w:firstLineChars="200"/>
        <w:rPr>
          <w:rFonts w:ascii="仿宋_GB2312" w:hAnsi="宋体" w:eastAsia="仿宋_GB2312" w:cs="仿宋_GB2312"/>
          <w:b/>
          <w:bCs/>
          <w:color w:val="000000" w:themeColor="text1"/>
          <w:sz w:val="32"/>
          <w:szCs w:val="32"/>
          <w14:textFill>
            <w14:solidFill>
              <w14:schemeClr w14:val="tx1"/>
            </w14:solidFill>
          </w14:textFill>
        </w:rPr>
      </w:pPr>
    </w:p>
    <w:p>
      <w:pPr>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br w:type="page"/>
      </w:r>
    </w:p>
    <w:p>
      <w:pPr>
        <w:pStyle w:val="3"/>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bookmarkStart w:id="55" w:name="_Toc181"/>
      <w:r>
        <w:rPr>
          <w:rFonts w:hint="eastAsia" w:ascii="方正小标宋_GBK" w:hAnsi="Calibri" w:eastAsia="方正小标宋_GBK"/>
          <w:b w:val="0"/>
          <w:color w:val="000000" w:themeColor="text1"/>
          <w:sz w:val="36"/>
          <w:szCs w:val="36"/>
          <w14:textFill>
            <w14:solidFill>
              <w14:schemeClr w14:val="tx1"/>
            </w14:solidFill>
          </w14:textFill>
        </w:rPr>
        <w:t>第四章   夯实消防治理基础，构建共建共治共享格局</w:t>
      </w:r>
      <w:bookmarkEnd w:id="55"/>
    </w:p>
    <w:p>
      <w:pPr>
        <w:pStyle w:val="4"/>
        <w:rPr>
          <w:color w:val="000000" w:themeColor="text1"/>
          <w14:textFill>
            <w14:solidFill>
              <w14:schemeClr w14:val="tx1"/>
            </w14:solidFill>
          </w14:textFill>
        </w:rPr>
      </w:pPr>
      <w:bookmarkStart w:id="56" w:name="_Toc27905"/>
      <w:r>
        <w:rPr>
          <w:rFonts w:hint="eastAsia"/>
          <w:color w:val="000000" w:themeColor="text1"/>
          <w14:textFill>
            <w14:solidFill>
              <w14:schemeClr w14:val="tx1"/>
            </w14:solidFill>
          </w14:textFill>
        </w:rPr>
        <w:t>（一）全面加强法制保障</w:t>
      </w:r>
      <w:bookmarkEnd w:id="56"/>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推进消防</w:t>
      </w:r>
      <w:r>
        <w:rPr>
          <w:rFonts w:hint="eastAsia" w:ascii="仿宋_GB2312" w:hAnsi="宋体" w:eastAsia="仿宋_GB2312" w:cs="仿宋_GB2312"/>
          <w:b/>
          <w:bCs/>
          <w:color w:val="000000" w:themeColor="text1"/>
          <w:sz w:val="32"/>
          <w:szCs w:val="32"/>
          <w:lang w:eastAsia="zh-CN"/>
          <w14:textFill>
            <w14:solidFill>
              <w14:schemeClr w14:val="tx1"/>
            </w14:solidFill>
          </w14:textFill>
        </w:rPr>
        <w:t>法治</w:t>
      </w:r>
      <w:r>
        <w:rPr>
          <w:rFonts w:hint="eastAsia" w:ascii="仿宋_GB2312" w:hAnsi="宋体" w:eastAsia="仿宋_GB2312" w:cs="仿宋_GB2312"/>
          <w:b/>
          <w:bCs/>
          <w:color w:val="000000" w:themeColor="text1"/>
          <w:sz w:val="32"/>
          <w:szCs w:val="32"/>
          <w14:textFill>
            <w14:solidFill>
              <w14:schemeClr w14:val="tx1"/>
            </w14:solidFill>
          </w14:textFill>
        </w:rPr>
        <w:t>体系建设。</w:t>
      </w:r>
      <w:r>
        <w:rPr>
          <w:rFonts w:hint="eastAsia" w:ascii="仿宋_GB2312" w:hAnsi="宋体" w:eastAsia="仿宋_GB2312" w:cs="仿宋_GB2312"/>
          <w:color w:val="000000" w:themeColor="text1"/>
          <w:sz w:val="32"/>
          <w:szCs w:val="32"/>
          <w14:textFill>
            <w14:solidFill>
              <w14:schemeClr w14:val="tx1"/>
            </w14:solidFill>
          </w14:textFill>
        </w:rPr>
        <w:t>增强消防法规的完备性，结合《中华人民共和国消防法》、严格贯彻落实《宁夏回族自治区消防安全责任制实施细则》，结合银川市实际情况，制定相关消防工作条例规定，明确细化政府、部门、单位消防安全工作职责。建立健全科学完备的消防法规制度体系，深化“法治消防”建设，自觉运用法治思维和法治方式提升维护消防安全的能力水平。教育、民政、商务、文化和旅游、卫生健康、宗教、文物、</w:t>
      </w:r>
      <w:r>
        <w:rPr>
          <w:rFonts w:ascii="仿宋_GB2312" w:hAnsi="宋体" w:eastAsia="仿宋_GB2312" w:cs="仿宋_GB2312"/>
          <w:color w:val="000000" w:themeColor="text1"/>
          <w:sz w:val="32"/>
          <w:szCs w:val="32"/>
          <w14:textFill>
            <w14:solidFill>
              <w14:schemeClr w14:val="tx1"/>
            </w14:solidFill>
          </w14:textFill>
        </w:rPr>
        <w:t>住建</w:t>
      </w:r>
      <w:r>
        <w:rPr>
          <w:rFonts w:hint="eastAsia" w:ascii="仿宋_GB2312" w:hAnsi="宋体" w:eastAsia="仿宋_GB2312" w:cs="仿宋_GB2312"/>
          <w:color w:val="000000" w:themeColor="text1"/>
          <w:sz w:val="32"/>
          <w:szCs w:val="32"/>
          <w14:textFill>
            <w14:solidFill>
              <w14:schemeClr w14:val="tx1"/>
            </w14:solidFill>
          </w14:textFill>
        </w:rPr>
        <w:t>等重点行业部门，建立完善行业系统消防安全管理规定，健全与消防救援机构分析评估、定期会商、联合执法等工作机制，推广“三自主两公开一承诺”做法，组织行业单位开展消防安全标准化管理。在2020年打造行业标杆示范单位的基础上；2021年，全面推广典型经验做法；2022年，有效落实行业标准化管理。</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深化法治惠民实事工程。</w:t>
      </w:r>
      <w:r>
        <w:rPr>
          <w:rFonts w:hint="eastAsia" w:ascii="仿宋_GB2312" w:hAnsi="宋体" w:eastAsia="仿宋_GB2312" w:cs="仿宋_GB2312"/>
          <w:color w:val="000000" w:themeColor="text1"/>
          <w:sz w:val="32"/>
          <w:szCs w:val="32"/>
          <w14:textFill>
            <w14:solidFill>
              <w14:schemeClr w14:val="tx1"/>
            </w14:solidFill>
          </w14:textFill>
        </w:rPr>
        <w:t>主动融入市委、市政府简政、放权、服务大局，进一步简化消防审批环节，优化审批流程，压减前置审批环节和事项，打造便民、亲民、利民的网上办事渠道，依托“银川市政务事项综合窗口受理平台”、“银川市政务服务综合效能监管平台”、“银川‘市民云’数据信息集成共享交换系统平台”建设工作，尽快实现消防政务服务事项“一网通办”“全程网办”“跨省通办”推进审批后监管制度化建设。深化政务公开，推出执法回访、执法评议等新的便民利民措施，进一步拓展消防执法服务深度和广度，提升消防执法服务社会影响力。加强执法监督，在“万众评公务”的基础上，提请各级人大及其常委会依法加强对消防法律法规执行情况的监督检查，提请各级政协对消防工作开展民主监督，提升消防执法公信力和群众满意度。</w:t>
      </w:r>
    </w:p>
    <w:p>
      <w:pPr>
        <w:snapToGrid w:val="0"/>
        <w:spacing w:line="620" w:lineRule="exact"/>
        <w:ind w:firstLine="643" w:firstLineChars="200"/>
        <w:rPr>
          <w:color w:val="000000" w:themeColor="text1"/>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提升消防依法行政能力。</w:t>
      </w:r>
      <w:r>
        <w:rPr>
          <w:rFonts w:hint="eastAsia" w:ascii="仿宋_GB2312" w:hAnsi="宋体" w:eastAsia="仿宋_GB2312" w:cs="仿宋_GB2312"/>
          <w:color w:val="000000" w:themeColor="text1"/>
          <w:sz w:val="32"/>
          <w:szCs w:val="32"/>
          <w14:textFill>
            <w14:solidFill>
              <w14:schemeClr w14:val="tx1"/>
            </w14:solidFill>
          </w14:textFill>
        </w:rPr>
        <w:t>健全、完善执法监督体系和执法过错责任追究机制，形成严格、公正、文明执法的良好氛围。各县（区）逐步建立协调处理与消防部门有关法律事务的法律顾问制度。积极采取执法大讲堂、大培训、大比武以及集中培训、专家授课等有效形式，组织全市范围内的消防法制培训，提升各岗位工作人员的法律和业务素质。创新法治宣传内容和形式，依托法治广场和法治主题公园等法治宣传教育阵地，将消防法律法规纳入普法教育内容，为居民开展消防法律法规的宣传教育，提供法律服务。</w:t>
      </w:r>
    </w:p>
    <w:p>
      <w:pPr>
        <w:pStyle w:val="4"/>
        <w:numPr>
          <w:ilvl w:val="0"/>
          <w:numId w:val="3"/>
        </w:numPr>
        <w:rPr>
          <w:color w:val="000000" w:themeColor="text1"/>
          <w14:textFill>
            <w14:solidFill>
              <w14:schemeClr w14:val="tx1"/>
            </w14:solidFill>
          </w14:textFill>
        </w:rPr>
      </w:pPr>
      <w:bookmarkStart w:id="57" w:name="_Toc32724"/>
      <w:r>
        <w:rPr>
          <w:rFonts w:hint="eastAsia"/>
          <w:color w:val="000000" w:themeColor="text1"/>
          <w14:textFill>
            <w14:solidFill>
              <w14:schemeClr w14:val="tx1"/>
            </w14:solidFill>
          </w14:textFill>
        </w:rPr>
        <w:t>推动社会多元共治</w:t>
      </w:r>
      <w:bookmarkEnd w:id="57"/>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充实一线防火力量。</w:t>
      </w:r>
      <w:r>
        <w:rPr>
          <w:rFonts w:hint="eastAsia" w:ascii="仿宋_GB2312" w:hAnsi="宋体" w:eastAsia="仿宋_GB2312" w:cs="仿宋_GB2312"/>
          <w:color w:val="000000" w:themeColor="text1"/>
          <w:sz w:val="32"/>
          <w:szCs w:val="32"/>
          <w14:textFill>
            <w14:solidFill>
              <w14:schemeClr w14:val="tx1"/>
            </w14:solidFill>
          </w14:textFill>
        </w:rPr>
        <w:t>各县区争取地方事业编制专项用于防火工作，探索赋予事业编制人员执法权，多渠道扩充一线防火监督力量。推进消防员参与执法、消防文员辅助执法工作，推动消防救援站、乡镇政府专职消防队开展消防巡查，建立配套工作制度。</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加强基层网格管理。</w:t>
      </w:r>
      <w:r>
        <w:rPr>
          <w:rFonts w:hint="eastAsia" w:ascii="仿宋_GB2312" w:hAnsi="宋体" w:eastAsia="仿宋_GB2312" w:cs="仿宋_GB2312"/>
          <w:color w:val="000000" w:themeColor="text1"/>
          <w:sz w:val="32"/>
          <w:szCs w:val="32"/>
          <w14:textFill>
            <w14:solidFill>
              <w14:schemeClr w14:val="tx1"/>
            </w14:solidFill>
          </w14:textFill>
        </w:rPr>
        <w:t>街道乡镇建立完善基层消防工作组织、消防工作机制，明确专（兼）职工作人员，建立落实制度、经费、人才、考核和科技等保障机制，强化末端消防管理。建立完善网格消防安全治理机制办法，充分发挥综治、公安派出所、综合执法队伍等作用，加强基层消防安全管理。</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发动群众参与治理。</w:t>
      </w:r>
      <w:r>
        <w:rPr>
          <w:rFonts w:hint="eastAsia" w:ascii="仿宋_GB2312" w:hAnsi="宋体" w:eastAsia="仿宋_GB2312" w:cs="仿宋_GB2312"/>
          <w:color w:val="000000" w:themeColor="text1"/>
          <w:sz w:val="32"/>
          <w:szCs w:val="32"/>
          <w14:textFill>
            <w14:solidFill>
              <w14:schemeClr w14:val="tx1"/>
            </w14:solidFill>
          </w14:textFill>
        </w:rPr>
        <w:t>将消防工作融入基层自治、网格管理、联防联控等机制，充分发挥基层网格员、志愿者、保安等力量作用，筑牢社会火灾防控人民防线。建立火灾隐患“吹哨人”制度，鼓励单位员工和知情群众举报火灾隐患，健全受理、查处、反馈、奖励等机制。</w:t>
      </w:r>
    </w:p>
    <w:p>
      <w:pPr>
        <w:snapToGrid w:val="0"/>
        <w:spacing w:line="620" w:lineRule="exact"/>
        <w:ind w:firstLine="643" w:firstLineChars="200"/>
        <w:rPr>
          <w:color w:val="000000" w:themeColor="text1"/>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拓展社会专业力量。</w:t>
      </w:r>
      <w:r>
        <w:rPr>
          <w:rFonts w:hint="eastAsia" w:ascii="仿宋_GB2312" w:hAnsi="宋体" w:eastAsia="仿宋_GB2312" w:cs="仿宋_GB2312"/>
          <w:color w:val="000000" w:themeColor="text1"/>
          <w:sz w:val="32"/>
          <w:szCs w:val="32"/>
          <w14:textFill>
            <w14:solidFill>
              <w14:schemeClr w14:val="tx1"/>
            </w14:solidFill>
          </w14:textFill>
        </w:rPr>
        <w:t>建立国家注册消防工程师资格考试指导中心，改革消防行业特有工种职业技能鉴定机制。加快培育壮大注册消防工程师等社会消防专业人才队伍，规范消防技术服务机构发展，制定消防技术服务活动和人员执业标准等配套制度，加大社会消防服务供给，提升消防技术服务质量。鼓励超高层公共建筑、大型商业综合体等社会单位聘用注册消防工程师参与消防安全管理，提升单位消防安全管理水平。培育引导消防协会、消防社团组织健康发展，加强自律管理。</w:t>
      </w:r>
    </w:p>
    <w:p>
      <w:pPr>
        <w:pStyle w:val="4"/>
        <w:numPr>
          <w:ilvl w:val="0"/>
          <w:numId w:val="3"/>
        </w:numPr>
        <w:rPr>
          <w:color w:val="000000" w:themeColor="text1"/>
          <w14:textFill>
            <w14:solidFill>
              <w14:schemeClr w14:val="tx1"/>
            </w14:solidFill>
          </w14:textFill>
        </w:rPr>
      </w:pPr>
      <w:bookmarkStart w:id="58" w:name="_Toc5543"/>
      <w:r>
        <w:rPr>
          <w:rFonts w:hint="eastAsia"/>
          <w:color w:val="000000" w:themeColor="text1"/>
          <w14:textFill>
            <w14:solidFill>
              <w14:schemeClr w14:val="tx1"/>
            </w14:solidFill>
          </w14:textFill>
        </w:rPr>
        <w:t>加强基础设施建设</w:t>
      </w:r>
      <w:bookmarkEnd w:id="58"/>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科学编修实施消防规划。</w:t>
      </w:r>
      <w:r>
        <w:rPr>
          <w:rFonts w:hint="eastAsia" w:ascii="仿宋_GB2312" w:hAnsi="宋体" w:eastAsia="仿宋_GB2312" w:cs="仿宋_GB2312"/>
          <w:color w:val="000000" w:themeColor="text1"/>
          <w:sz w:val="32"/>
          <w:szCs w:val="32"/>
          <w14:textFill>
            <w14:solidFill>
              <w14:schemeClr w14:val="tx1"/>
            </w14:solidFill>
          </w14:textFill>
        </w:rPr>
        <w:t>结合各个市县的国土空间规划及时编制修订消防规划，科学规划消防安全布局，纳入当地社会经济发展总体规划同步实施。2021年，银川市、永宁县、贺兰县和灵武市完成消防规划的制订和修编工作。2022年，重点城镇、有条件的建制镇完成消防规划的制订或修编工作，2023年，所有建制镇完成消防规划编制。建立消防规划执行情况分析评估机制，每年制定年度落实计划，消防</w:t>
      </w:r>
      <w:r>
        <w:rPr>
          <w:rFonts w:ascii="仿宋_GB2312" w:hAnsi="宋体" w:eastAsia="仿宋_GB2312" w:cs="仿宋_GB2312"/>
          <w:color w:val="000000" w:themeColor="text1"/>
          <w:sz w:val="32"/>
          <w:szCs w:val="32"/>
          <w14:textFill>
            <w14:solidFill>
              <w14:schemeClr w14:val="tx1"/>
            </w14:solidFill>
          </w14:textFill>
        </w:rPr>
        <w:t>救援、</w:t>
      </w:r>
      <w:r>
        <w:rPr>
          <w:rFonts w:hint="eastAsia" w:ascii="仿宋_GB2312" w:hAnsi="宋体" w:eastAsia="仿宋_GB2312" w:cs="仿宋_GB2312"/>
          <w:color w:val="000000" w:themeColor="text1"/>
          <w:sz w:val="32"/>
          <w:szCs w:val="32"/>
          <w14:textFill>
            <w14:solidFill>
              <w14:schemeClr w14:val="tx1"/>
            </w14:solidFill>
          </w14:textFill>
        </w:rPr>
        <w:t>公安、住房和城乡规划建设等部门每年联合开展消防专项规划督查，推动规划落地执行。</w:t>
      </w:r>
    </w:p>
    <w:p>
      <w:pPr>
        <w:spacing w:line="60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加快消防训练基地和消防站建设。</w:t>
      </w:r>
      <w:r>
        <w:rPr>
          <w:rFonts w:hint="eastAsia" w:ascii="仿宋_GB2312" w:hAnsi="宋体" w:eastAsia="仿宋_GB2312" w:cs="仿宋_GB2312"/>
          <w:color w:val="000000" w:themeColor="text1"/>
          <w:sz w:val="32"/>
          <w:szCs w:val="32"/>
          <w14:textFill>
            <w14:solidFill>
              <w14:schemeClr w14:val="tx1"/>
            </w14:solidFill>
          </w14:textFill>
        </w:rPr>
        <w:t>按照“符合标准、功能配套、满足需要、适度超前”的原则，推进全市消防综合训练基地和消防站的建设。2021年建设金凤区尹家渠北街或宁安北大街消防站、兴庆区新华商圈小型消防站、永宁县闽宁镇小型消防站、消防训练基地和战勤保障基地、灵武市白土岗乡（或梧桐树乡）（小型站）和贺兰县立岗镇消防站（小型站）；2022年建设西夏区宁朔消防站、贺兰县暖泉工业园区消防站、贺兰县金贵镇或兴庆区通贵镇消防站（小型站或以上）、永宁县胜利乡或望洪镇消防站和永宁县李俊镇小型消防站；2023年建设兴庆区燕鸽湖消防站、金凤区良田路消防站和贺兰县德胜规划2号消防站。各乡镇（街道）、村（居）要依托群防群治力量和现有消防安全组织，建立有人员、有器材、有战斗力的“微型消防站”，加强初期火灾的应急处置。2021年，60%的乡镇（街道）和村（居）建成微型消防站；2022年，80%的乡镇（街道）和村（居）建成微型消防站；2023年，所有乡镇（街道）和村（居）建成微型消防站。</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老旧小区消防基础设施改造。</w:t>
      </w:r>
      <w:r>
        <w:rPr>
          <w:rFonts w:hint="eastAsia" w:ascii="仿宋_GB2312" w:hAnsi="宋体" w:eastAsia="仿宋_GB2312" w:cs="仿宋_GB2312"/>
          <w:color w:val="000000" w:themeColor="text1"/>
          <w:sz w:val="32"/>
          <w:szCs w:val="32"/>
          <w14:textFill>
            <w14:solidFill>
              <w14:schemeClr w14:val="tx1"/>
            </w14:solidFill>
          </w14:textFill>
        </w:rPr>
        <w:t>“十四五期间”，结合新型城镇化建设、城镇老旧小区改造、城镇棚户区改造、移民安置点建设等工作，对红运新村、橡民B区、玫瑰园和兴夏苑等老旧小区进行改造。改造围绕解决老旧小区建筑物和配套设施破损老化、市政设施不完善、环境脏乱差、管理机制不健全、消防车通道不畅通、消防设施不完善等消防安全问题，将消防配套基础设施建设纳入改造范围。消防基础设施改造应分类施策、分类整治，组织升级改造消防设施，推动落实基层消防安全管理措施，有效改善消防安全条件。</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推进公共消防基础设施建。</w:t>
      </w:r>
      <w:r>
        <w:rPr>
          <w:rFonts w:hint="eastAsia" w:ascii="仿宋_GB2312" w:hAnsi="宋体" w:eastAsia="仿宋_GB2312" w:cs="仿宋_GB2312"/>
          <w:color w:val="000000" w:themeColor="text1"/>
          <w:sz w:val="32"/>
          <w:szCs w:val="32"/>
          <w14:textFill>
            <w14:solidFill>
              <w14:schemeClr w14:val="tx1"/>
            </w14:solidFill>
          </w14:textFill>
        </w:rPr>
        <w:t>各级住房和城乡规划建设、水务、市政管理、消防等部门应当加强配合，明确分工，确保市政消火栓与市政给水系统同步规划、设计、建设与使用。完善市政消火栓建设，加大补建力度，2021年，县（区）和乡镇（街道）市政消火栓建有率达到100%、完好率95%以上。2021年至2025年，每年新建270个市政消火栓，共增加1350个，到2025年，达到总数7258个。采用河流、湖泊等天然水源作为消防水源的，应当设置消防车取水点和确保供水可靠性的技术措施，确保消防车快速取水。各级住房和城乡规划建设、应急救援等部门建立地理信息和建（构）筑物、消防水源、道路监控等信息共享机制，制作“消火栓地图册”，将城镇公共消防设施全面纳入数字化管理平台和综合信息系统，建立多部门共同参与的建设维护信息共享机制。</w:t>
      </w:r>
    </w:p>
    <w:p>
      <w:pPr>
        <w:pStyle w:val="4"/>
        <w:numPr>
          <w:ilvl w:val="0"/>
          <w:numId w:val="3"/>
        </w:numPr>
        <w:rPr>
          <w:color w:val="000000" w:themeColor="text1"/>
          <w14:textFill>
            <w14:solidFill>
              <w14:schemeClr w14:val="tx1"/>
            </w14:solidFill>
          </w14:textFill>
        </w:rPr>
      </w:pPr>
      <w:bookmarkStart w:id="59" w:name="_Toc10489"/>
      <w:r>
        <w:rPr>
          <w:rFonts w:hint="eastAsia"/>
          <w:color w:val="000000" w:themeColor="text1"/>
          <w14:textFill>
            <w14:solidFill>
              <w14:schemeClr w14:val="tx1"/>
            </w14:solidFill>
          </w14:textFill>
        </w:rPr>
        <w:t>提升公众消防素质</w:t>
      </w:r>
      <w:bookmarkEnd w:id="59"/>
    </w:p>
    <w:p>
      <w:pPr>
        <w:adjustRightInd w:val="0"/>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建立“大培训”工作体系。</w:t>
      </w:r>
      <w:r>
        <w:rPr>
          <w:rFonts w:hint="eastAsia" w:ascii="仿宋_GB2312" w:hAnsi="宋体" w:eastAsia="仿宋_GB2312" w:cs="仿宋_GB2312"/>
          <w:color w:val="000000" w:themeColor="text1"/>
          <w:sz w:val="32"/>
          <w:szCs w:val="32"/>
          <w14:textFill>
            <w14:solidFill>
              <w14:schemeClr w14:val="tx1"/>
            </w14:solidFill>
          </w14:textFill>
        </w:rPr>
        <w:t>积极推行消防知识全民教育计划，各级政府及公安、科技、教育、人力资源和社会保障等部门将消防法律法规和消防知识纳入党政领导干部及公务员培训、保安培训、职业培训、科普和普法教育、义务教育、就业教育内容，特别要加强学校消防安全教育，构建消防安全教育培训指导、督察、考评、监管体系。建立消防宣传教员机制，至2025年，全市所有机关、团体、企业、事业单位均配备1名专（兼）职消防宣教员，所有乡镇（街道）组建1支消防宣讲队伍（</w:t>
      </w:r>
      <w:r>
        <w:rPr>
          <w:rFonts w:hint="eastAsia" w:ascii="仿宋_GB2312" w:hAnsi="宋体" w:eastAsia="仿宋_GB2312" w:cs="仿宋_GB2312"/>
          <w:color w:val="000000" w:themeColor="text1"/>
          <w:sz w:val="32"/>
          <w:szCs w:val="32"/>
          <w:highlight w:val="yellow"/>
          <w14:textFill>
            <w14:solidFill>
              <w14:schemeClr w14:val="tx1"/>
            </w14:solidFill>
          </w14:textFill>
        </w:rPr>
        <w:t>不少于3名专兼职人员</w:t>
      </w:r>
      <w:r>
        <w:rPr>
          <w:rFonts w:hint="eastAsia" w:ascii="仿宋_GB2312" w:hAnsi="宋体" w:eastAsia="仿宋_GB2312" w:cs="仿宋_GB2312"/>
          <w:color w:val="000000" w:themeColor="text1"/>
          <w:sz w:val="32"/>
          <w:szCs w:val="32"/>
          <w14:textFill>
            <w14:solidFill>
              <w14:schemeClr w14:val="tx1"/>
            </w14:solidFill>
          </w14:textFill>
        </w:rPr>
        <w:t>），每月开展消防教育。积极推进消防宣传体验基地建设，探索政府购买消防公共服务模式，激发社会组织活力，鼓励社会力量创办消防安全教育培训机构，有效履行政府服务社会公众的责任与职能。落实建（构）筑物消防员和灭火救援员职业资格制度，充分发挥其在建筑消防设施操作、建筑消防安全检查和火灾扑救、抢险救援中的作用。2023年前，消防控制室人员持证率达到100%；政府专职消防队、单位专职消防队队员要取得相应的灭火救援员职业资格。</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稳固传统媒体宣传阵地，加强新媒体平台建设。</w:t>
      </w:r>
      <w:r>
        <w:rPr>
          <w:rFonts w:hint="eastAsia" w:ascii="仿宋_GB2312" w:hAnsi="宋体" w:eastAsia="仿宋_GB2312" w:cs="仿宋_GB2312"/>
          <w:color w:val="000000" w:themeColor="text1"/>
          <w:sz w:val="32"/>
          <w:szCs w:val="32"/>
          <w14:textFill>
            <w14:solidFill>
              <w14:schemeClr w14:val="tx1"/>
            </w14:solidFill>
          </w14:textFill>
        </w:rPr>
        <w:t>2021年底，建立消防宣传专家库，将市级媒体热点栏目总监、资深记者纳入专家库，定期召开媒体通联会，总结消防宣传工作成效、亮点工作和存在问题，吸纳专家意见和建议。协调各级各类媒体，及时发布消防工作动态和抢险救援情况，确保市级电视台每月播出反映专项整治行动的新闻不少于1条；在市级电视台每月播出新闻不少于2条，每月制作专题不少于1个，播出消防公益广告每月不少于20条次，区市两级主要报刊每月报道专项整治行动新闻不少于5条次，每年在自治区级报刊至少推出1个专版。2021年，开办完善微信、微博、抖音、头条、快手五大新媒体矩阵，针对重点整治内容，策划制作图文、视频类新媒体作品，并利用网络直播和短视频开展宣传活动、教育培训、文艺演出等，每季度至少组织1次新媒体直播活动。结合元旦、春节、中秋、国庆等重要节日以及“119”消防宣传月等主题活动，设置话题开展重点策划。注重采用随手拍等多种形式，引导公众了解消防、参与消防。至2024年，移动互联网消防信息服务平台关注人数达到50万人以上。全面提升公民消防法律法规意识、消防安全常识知晓率和火灾自防自救能力；增强全民消防安全意识，提高公众防范火灾、扑救初起火灾和疏散逃生能力。</w:t>
      </w:r>
    </w:p>
    <w:p>
      <w:pPr>
        <w:adjustRightInd w:val="0"/>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建立“大演练”工作常态。</w:t>
      </w:r>
      <w:r>
        <w:rPr>
          <w:rFonts w:hint="eastAsia" w:ascii="仿宋_GB2312" w:hAnsi="宋体" w:eastAsia="仿宋_GB2312" w:cs="仿宋_GB2312"/>
          <w:color w:val="000000" w:themeColor="text1"/>
          <w:sz w:val="32"/>
          <w:szCs w:val="32"/>
          <w14:textFill>
            <w14:solidFill>
              <w14:schemeClr w14:val="tx1"/>
            </w14:solidFill>
          </w14:textFill>
        </w:rPr>
        <w:t>坚持消防常识人人受教育、消防疏散逃生演练人人参与，各级政府每年至少组织一次多部门联合消防演练；所有在校学生每年参与消防疏散逃生演练不少于2次，所有机关、团体、企业、事业单位每年组织火灾事故应急演练不少于1次。制作灭火和疏散逃生演练示范片，在公共场所和人员密集场所、社会单位广泛播放。丰富消防疏散逃生演练模式，鼓励和支持企业及社会单位建立有针对性的模拟火灾扑救及疏散逃生设施，提高演练的针对性。2024年，全民消防常识知晓率提高到70%以上。</w:t>
      </w:r>
    </w:p>
    <w:p>
      <w:pPr>
        <w:adjustRightInd w:val="0"/>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加强长效机制建设，推动社会化消防宣传工作。</w:t>
      </w:r>
      <w:r>
        <w:rPr>
          <w:rFonts w:hint="eastAsia" w:ascii="仿宋_GB2312" w:hAnsi="宋体" w:eastAsia="仿宋_GB2312" w:cs="仿宋_GB2312"/>
          <w:color w:val="000000" w:themeColor="text1"/>
          <w:sz w:val="32"/>
          <w:szCs w:val="32"/>
          <w14:textFill>
            <w14:solidFill>
              <w14:schemeClr w14:val="tx1"/>
            </w14:solidFill>
          </w14:textFill>
        </w:rPr>
        <w:t>推动银川市文明办、司法、人社等相关部门将消防安全教育纳入社会主义精神文明建设、普法教育、职业培训内容。与教育、民政、文旅、卫健、宗教、文物等重点行业部门建立联动机制，指导行业系统开展经常性消防宣传教育。联合行业部门和社会团体，组织乡镇、街道、公安派出所、社区和居（村）委会等基层力量和消防志愿者队伍，对辖区老幼病弱等重点群体和进城务工人员，开展上门防火检查和送平安服务活动。至2022年，按照《关于推进消防安全宣传教育进企业进农村进社区进学校进家庭工作的指导意见》要求，建立完善消防安全宣传教育联席制度，督促相关组织、单位建立和落实消防安全宣传教育工作制度，建立和培训消防安全宣传教育队伍。推动消防安全宣传教育工作融入基层综合治理体系，督促网格员定期开展消防宣传教育活动。</w:t>
      </w:r>
    </w:p>
    <w:p>
      <w:pPr>
        <w:adjustRightInd w:val="0"/>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实施消防安全精准化宣传培训，全力提高公民消防意识。</w:t>
      </w:r>
      <w:r>
        <w:rPr>
          <w:rFonts w:hint="eastAsia" w:ascii="仿宋_GB2312" w:hAnsi="宋体" w:eastAsia="仿宋_GB2312" w:cs="仿宋_GB2312"/>
          <w:color w:val="000000" w:themeColor="text1"/>
          <w:sz w:val="32"/>
          <w:szCs w:val="32"/>
          <w14:textFill>
            <w14:solidFill>
              <w14:schemeClr w14:val="tx1"/>
            </w14:solidFill>
          </w14:textFill>
        </w:rPr>
        <w:t>2021年，将消防知识纳入中小学、幼儿园教学内容和高校、高中新生军训课程，全面发动中小学生开展“消除家庭火灾隐患”“消防安全开学第一课”等活动，2022年，实现学校消防安全宣传教育全覆盖。依托各类安全宣传教育资源，按照《应急消防科普教育基地建设标准》，完善应急消防科普教育场馆体系，全面推行消防体验场馆预约平台，定期组织村（居）民参加消防教育培训，提高自救互救能力。推广使用全民消防学习云平台，分批次、分类别组织重点人群开展消防教育培训，2024年底实现云平台全覆盖培训。</w:t>
      </w:r>
    </w:p>
    <w:p>
      <w:pPr>
        <w:adjustRightInd w:val="0"/>
        <w:snapToGrid w:val="0"/>
        <w:spacing w:line="620" w:lineRule="exact"/>
        <w:ind w:firstLine="643" w:firstLineChars="200"/>
        <w:rPr>
          <w:rFonts w:ascii="仿宋_GB2312" w:hAnsi="宋体" w:eastAsia="仿宋_GB2312" w:cs="仿宋_GB2312"/>
          <w:color w:val="000000" w:themeColor="text1"/>
          <w:sz w:val="32"/>
          <w:szCs w:val="32"/>
          <w:highlight w:val="red"/>
          <w:shd w:val="clear" w:color="FFFFFF" w:fill="D9D9D9"/>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建强志愿者消防宣传培训队伍。</w:t>
      </w:r>
      <w:r>
        <w:rPr>
          <w:rFonts w:hint="eastAsia" w:ascii="仿宋_GB2312" w:hAnsi="宋体" w:eastAsia="仿宋_GB2312" w:cs="仿宋_GB2312"/>
          <w:color w:val="000000" w:themeColor="text1"/>
          <w:sz w:val="32"/>
          <w:szCs w:val="32"/>
          <w14:textFill>
            <w14:solidFill>
              <w14:schemeClr w14:val="tx1"/>
            </w14:solidFill>
          </w14:textFill>
        </w:rPr>
        <w:t>建立消防志愿者登记、培训机制，壮大消防志愿者队伍，创新志愿活动形式，联合有关社会团体共同完善消防志愿者服务章程，开展消防宣传志愿者活动。2022年底前，注册消防志愿者人数不少于5000人。将优秀消防志愿者个人和集体纳入全国119消防奖评选范围。深入推进消防宣传进乡村“三九”工程建设，积极争取政府政策支持，探索构建联动机制，在西夏镇北堡镇镇北堡村、永宁县闽宁镇原隆村、贺兰县常信乡四十里店村和灵武市崇兴镇崇兴村各建成1个应急消防科普教育基地，各组建1支乡村志愿消防服务队并运作。</w:t>
      </w:r>
    </w:p>
    <w:p>
      <w:pPr>
        <w:pStyle w:val="4"/>
        <w:numPr>
          <w:ilvl w:val="0"/>
          <w:numId w:val="3"/>
        </w:numPr>
        <w:rPr>
          <w:color w:val="000000" w:themeColor="text1"/>
          <w14:textFill>
            <w14:solidFill>
              <w14:schemeClr w14:val="tx1"/>
            </w14:solidFill>
          </w14:textFill>
        </w:rPr>
      </w:pPr>
      <w:bookmarkStart w:id="60" w:name="_Toc29074"/>
      <w:r>
        <w:rPr>
          <w:rFonts w:hint="eastAsia"/>
          <w:color w:val="000000" w:themeColor="text1"/>
          <w14:textFill>
            <w14:solidFill>
              <w14:schemeClr w14:val="tx1"/>
            </w14:solidFill>
          </w14:textFill>
        </w:rPr>
        <w:t>建立经费长效保障机制</w:t>
      </w:r>
      <w:bookmarkEnd w:id="60"/>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按照《中华人民共和国消防法》和《自治区财政厅宁夏回族自治区消防救援总队关于印发</w:t>
      </w:r>
      <w:r>
        <w:rPr>
          <w:rFonts w:hint="eastAsia" w:ascii="微软雅黑" w:hAnsi="微软雅黑" w:eastAsia="微软雅黑" w:cs="微软雅黑"/>
          <w:color w:val="000000" w:themeColor="text1"/>
          <w:sz w:val="32"/>
          <w:szCs w:val="32"/>
          <w14:textFill>
            <w14:solidFill>
              <w14:schemeClr w14:val="tx1"/>
            </w14:solidFill>
          </w14:textFill>
        </w:rPr>
        <w:t>&lt;</w:t>
      </w:r>
      <w:r>
        <w:rPr>
          <w:rFonts w:hint="eastAsia" w:ascii="仿宋_GB2312" w:hAnsi="宋体" w:eastAsia="仿宋_GB2312" w:cs="仿宋_GB2312"/>
          <w:color w:val="000000" w:themeColor="text1"/>
          <w:sz w:val="32"/>
          <w:szCs w:val="32"/>
          <w14:textFill>
            <w14:solidFill>
              <w14:schemeClr w14:val="tx1"/>
            </w14:solidFill>
          </w14:textFill>
        </w:rPr>
        <w:t>宁夏回族自治区消防救援队伍地方消防经费管理办法</w:t>
      </w:r>
      <w:r>
        <w:rPr>
          <w:rFonts w:hint="eastAsia" w:ascii="微软雅黑" w:hAnsi="微软雅黑" w:eastAsia="微软雅黑" w:cs="微软雅黑"/>
          <w:color w:val="000000" w:themeColor="text1"/>
          <w:sz w:val="32"/>
          <w:szCs w:val="32"/>
          <w14:textFill>
            <w14:solidFill>
              <w14:schemeClr w14:val="tx1"/>
            </w14:solidFill>
          </w14:textFill>
        </w:rPr>
        <w:t>&gt;</w:t>
      </w:r>
      <w:r>
        <w:rPr>
          <w:rFonts w:hint="eastAsia" w:ascii="仿宋_GB2312" w:hAnsi="宋体" w:eastAsia="仿宋_GB2312" w:cs="仿宋_GB2312"/>
          <w:color w:val="000000" w:themeColor="text1"/>
          <w:sz w:val="32"/>
          <w:szCs w:val="32"/>
          <w14:textFill>
            <w14:solidFill>
              <w14:schemeClr w14:val="tx1"/>
            </w14:solidFill>
          </w14:textFill>
        </w:rPr>
        <w:t>的规定》【宁财（建）发[2020]372号】，提高保障标准，加大消防经费投入，落实专项经费，完成既定目标任务。建立与经济社会发展水平相适应的新建消防站、配套消防装备、维持性和淘汰报废装备更新经费保障机制，逐步加大消防经费投入，确保新建消防站建成后队站、装备同步投入使用，淘汰报废装备能够及时补充和防止装备“买得起、用不起、养不起”的情况发生。按照全市消防经费分级负担原则，加大资金统筹保障力度，中央资金和各地消防经费保障总量较“十三五”期间有明显增长。重点支持保障全市各级消防业务费、消防装备建设、消防队站基础设施建设、政府专职消防员、消防信息化建设和公共消防基础设施建设等方面，根据各地经济社会发展水平，不断加大投入保障力度，进一步推进“十四五”期间全市消防事业发展，提升经济社会发展的消防安全保障水平。</w:t>
      </w:r>
    </w:p>
    <w:p>
      <w:pPr>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br w:type="page"/>
      </w:r>
    </w:p>
    <w:p>
      <w:pPr>
        <w:pStyle w:val="3"/>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bookmarkStart w:id="61" w:name="_Toc19789"/>
      <w:r>
        <w:rPr>
          <w:rFonts w:hint="eastAsia" w:ascii="方正小标宋_GBK" w:hAnsi="Calibri" w:eastAsia="方正小标宋_GBK"/>
          <w:b w:val="0"/>
          <w:color w:val="000000" w:themeColor="text1"/>
          <w:sz w:val="36"/>
          <w:szCs w:val="36"/>
          <w14:textFill>
            <w14:solidFill>
              <w14:schemeClr w14:val="tx1"/>
            </w14:solidFill>
          </w14:textFill>
        </w:rPr>
        <w:t>第五章   构建特色消防救援力量，完善消防救援体系</w:t>
      </w:r>
      <w:bookmarkEnd w:id="61"/>
    </w:p>
    <w:p>
      <w:pPr>
        <w:pStyle w:val="4"/>
        <w:rPr>
          <w:color w:val="000000" w:themeColor="text1"/>
          <w14:textFill>
            <w14:solidFill>
              <w14:schemeClr w14:val="tx1"/>
            </w14:solidFill>
          </w14:textFill>
        </w:rPr>
      </w:pPr>
      <w:bookmarkStart w:id="62" w:name="_Toc8695"/>
      <w:r>
        <w:rPr>
          <w:rFonts w:hint="eastAsia"/>
          <w:color w:val="000000" w:themeColor="text1"/>
          <w14:textFill>
            <w14:solidFill>
              <w14:schemeClr w14:val="tx1"/>
            </w14:solidFill>
          </w14:textFill>
        </w:rPr>
        <w:t>（一）建立专业化消防救援尖刀力量</w:t>
      </w:r>
      <w:bookmarkEnd w:id="62"/>
    </w:p>
    <w:p>
      <w:pPr>
        <w:snapToGrid w:val="0"/>
        <w:spacing w:line="620" w:lineRule="exact"/>
        <w:ind w:firstLine="640" w:firstLineChars="200"/>
        <w:rPr>
          <w:color w:val="000000" w:themeColor="text1"/>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加强全市综合性消防救援队伍建设，逐步完善灭火救援力量体系，优化力量布局和队伍编成，执勤训练改革扎实推进，“全灾种、大应急”工作机制形成，指挥体系高效顺畅，技战术运用科学合理，队伍主力军、国家队的尖刀和拳头作用明显。建立全市特种灾害救援专家库，建立专家会商联动、专家会议、专家指导等工作机制。结合银川实际加强综合救援队伍建设，健全和完善高层、地下、水域、山岳、战勤保障、石油化工、精细化工、重型机械、地质灾害等专业队伍作战力量编成；突出专业训练，依托训练模拟设施开展恶劣环境心理训练、复杂危险环境适应性和灾害模拟处置训练，切实提升处置特殊灾害事故的专业能力。</w:t>
      </w:r>
    </w:p>
    <w:p>
      <w:pPr>
        <w:pStyle w:val="4"/>
        <w:numPr>
          <w:ilvl w:val="0"/>
          <w:numId w:val="4"/>
        </w:numPr>
        <w:rPr>
          <w:color w:val="000000" w:themeColor="text1"/>
          <w14:textFill>
            <w14:solidFill>
              <w14:schemeClr w14:val="tx1"/>
            </w14:solidFill>
          </w14:textFill>
        </w:rPr>
      </w:pPr>
      <w:bookmarkStart w:id="63" w:name="_Toc4890"/>
      <w:r>
        <w:rPr>
          <w:rFonts w:hint="eastAsia"/>
          <w:color w:val="000000" w:themeColor="text1"/>
          <w14:textFill>
            <w14:solidFill>
              <w14:schemeClr w14:val="tx1"/>
            </w14:solidFill>
          </w14:textFill>
        </w:rPr>
        <w:t>大力发展多种形式消防队伍</w:t>
      </w:r>
      <w:bookmarkEnd w:id="63"/>
    </w:p>
    <w:p>
      <w:pPr>
        <w:snapToGrid w:val="0"/>
        <w:spacing w:line="620" w:lineRule="exact"/>
        <w:ind w:firstLine="640" w:firstLineChars="200"/>
        <w:rPr>
          <w:color w:val="000000" w:themeColor="text1"/>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出台政策保障机制，大力发展政府专职消防队、消防文员队伍，作为国家综合性消防救援队伍重要补充。积极发展志愿消防队伍和微型消防站等社会应急救援队伍，按国家有关规定表彰或奖励作出重要贡献的社会应急救援力量，构建多元互补的消防救援力量体系。坚持职业化建设方向，城市、乡镇按照标准“应建尽建”专职消防队，鼓励重点镇参照《城市消防站建设标准》建队，符合条件的纳入国家综合性消防救援队伍统一管理。企业依法落实专职消防队建设主体责任，配齐配强人员、车辆装备，积极参与社会面火灾扑救和应急救援。乡镇、农村按标准建立志愿消防队，街道、社区全面普及微型消防站，社会单位按要求建立志愿消防队或微型消防站，提高初起火灾扑救能力。到2025年，新增专职队员190人，消防文员25人。</w:t>
      </w:r>
    </w:p>
    <w:p>
      <w:pPr>
        <w:pStyle w:val="4"/>
        <w:numPr>
          <w:ilvl w:val="0"/>
          <w:numId w:val="4"/>
        </w:numPr>
        <w:rPr>
          <w:color w:val="000000" w:themeColor="text1"/>
          <w14:textFill>
            <w14:solidFill>
              <w14:schemeClr w14:val="tx1"/>
            </w14:solidFill>
          </w14:textFill>
        </w:rPr>
      </w:pPr>
      <w:bookmarkStart w:id="64" w:name="_Toc15931"/>
      <w:r>
        <w:rPr>
          <w:rFonts w:hint="eastAsia"/>
          <w:color w:val="000000" w:themeColor="text1"/>
          <w14:textFill>
            <w14:solidFill>
              <w14:schemeClr w14:val="tx1"/>
            </w14:solidFill>
          </w14:textFill>
        </w:rPr>
        <w:t>提高实战实训能力</w:t>
      </w:r>
      <w:bookmarkEnd w:id="64"/>
    </w:p>
    <w:p>
      <w:pPr>
        <w:spacing w:line="620" w:lineRule="exact"/>
        <w:ind w:firstLine="640" w:firstLineChars="200"/>
        <w:rPr>
          <w:rFonts w:ascii="仿宋" w:hAnsi="仿宋" w:eastAsia="仿宋" w:cs="方正仿宋_GBK"/>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坚持战斗力标准，加强国家综合性消防救援队伍实战化训练，改革训练内容，创新训练模式，强化训战安全，加强日常“六熟悉”和实战演练，推动训练由“单一灾种”向“全灾种”转变。消防训练基地建设依据《住房城乡建设部国家发展改革委关于批准发布</w:t>
      </w:r>
      <w:r>
        <w:rPr>
          <w:rFonts w:hint="eastAsia" w:ascii="微软雅黑" w:hAnsi="微软雅黑" w:eastAsia="微软雅黑" w:cs="微软雅黑"/>
          <w:color w:val="000000" w:themeColor="text1"/>
          <w:sz w:val="32"/>
          <w:szCs w:val="32"/>
          <w14:textFill>
            <w14:solidFill>
              <w14:schemeClr w14:val="tx1"/>
            </w14:solidFill>
          </w14:textFill>
        </w:rPr>
        <w:t>&lt;</w:t>
      </w:r>
      <w:r>
        <w:rPr>
          <w:rFonts w:hint="eastAsia" w:ascii="仿宋_GB2312" w:hAnsi="宋体" w:eastAsia="仿宋_GB2312" w:cs="仿宋_GB2312"/>
          <w:color w:val="000000" w:themeColor="text1"/>
          <w:sz w:val="32"/>
          <w:szCs w:val="32"/>
          <w14:textFill>
            <w14:solidFill>
              <w14:schemeClr w14:val="tx1"/>
            </w14:solidFill>
          </w14:textFill>
        </w:rPr>
        <w:t>消防训练基地建设标准</w:t>
      </w:r>
      <w:r>
        <w:rPr>
          <w:rFonts w:hint="eastAsia" w:ascii="微软雅黑" w:hAnsi="微软雅黑" w:eastAsia="微软雅黑" w:cs="微软雅黑"/>
          <w:color w:val="000000" w:themeColor="text1"/>
          <w:sz w:val="32"/>
          <w:szCs w:val="32"/>
          <w14:textFill>
            <w14:solidFill>
              <w14:schemeClr w14:val="tx1"/>
            </w14:solidFill>
          </w14:textFill>
        </w:rPr>
        <w:t>&gt;</w:t>
      </w:r>
      <w:r>
        <w:rPr>
          <w:rFonts w:hint="eastAsia" w:ascii="仿宋_GB2312" w:hAnsi="宋体" w:eastAsia="仿宋_GB2312" w:cs="仿宋_GB2312"/>
          <w:color w:val="000000" w:themeColor="text1"/>
          <w:sz w:val="32"/>
          <w:szCs w:val="32"/>
          <w14:textFill>
            <w14:solidFill>
              <w14:schemeClr w14:val="tx1"/>
            </w14:solidFill>
          </w14:textFill>
        </w:rPr>
        <w:t>》进行建设。加强预案编制和管理，建设数字化预案管理平台，强化上下级预案、同级预案以及与政府和社会单位等相关预案之间的衔接，形成系统完备、贴近实战、协调联动的预案体系。开展绳索救援、水域救援、地震救援、重型工程机械操作等救援技术培训，专业队员专业资质认证率达到100%。建立政府专职消防队、企业专职消防队、乡镇消防队、微型消防站等多种形式消防队伍常态化联勤联训联动机制，指导多种形式消防队伍开展经常性训练演练，实现多种形式消防队伍的同训共练、培训考核、联勤联战机制，统一纳入联席调度，明确通信手段，规范调派程序，统一行动要求，提高协同处置能力。</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3"/>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bookmarkStart w:id="65" w:name="_Toc7531"/>
      <w:r>
        <w:rPr>
          <w:rFonts w:hint="eastAsia" w:ascii="方正小标宋_GBK" w:hAnsi="Calibri" w:eastAsia="方正小标宋_GBK"/>
          <w:b w:val="0"/>
          <w:color w:val="000000" w:themeColor="text1"/>
          <w:sz w:val="36"/>
          <w:szCs w:val="36"/>
          <w14:textFill>
            <w14:solidFill>
              <w14:schemeClr w14:val="tx1"/>
            </w14:solidFill>
          </w14:textFill>
        </w:rPr>
        <w:t>第六章   构建现代化应急装备战勤体系，提升攻坚打赢支撑能力</w:t>
      </w:r>
      <w:bookmarkEnd w:id="65"/>
    </w:p>
    <w:p>
      <w:pPr>
        <w:pStyle w:val="4"/>
        <w:rPr>
          <w:color w:val="000000" w:themeColor="text1"/>
          <w14:textFill>
            <w14:solidFill>
              <w14:schemeClr w14:val="tx1"/>
            </w14:solidFill>
          </w14:textFill>
        </w:rPr>
      </w:pPr>
      <w:bookmarkStart w:id="66" w:name="_Toc2448"/>
      <w:r>
        <w:rPr>
          <w:rFonts w:hint="eastAsia"/>
          <w:color w:val="000000" w:themeColor="text1"/>
          <w14:textFill>
            <w14:solidFill>
              <w14:schemeClr w14:val="tx1"/>
            </w14:solidFill>
          </w14:textFill>
        </w:rPr>
        <w:t>（一）加快推动应急救援装备升级换代</w:t>
      </w:r>
      <w:bookmarkEnd w:id="66"/>
    </w:p>
    <w:p>
      <w:pPr>
        <w:adjustRightInd w:val="0"/>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加强消防基本装备建设。</w:t>
      </w:r>
      <w:r>
        <w:rPr>
          <w:rFonts w:hint="eastAsia" w:ascii="仿宋_GB2312" w:hAnsi="宋体" w:eastAsia="仿宋_GB2312" w:cs="仿宋_GB2312"/>
          <w:color w:val="000000" w:themeColor="text1"/>
          <w:sz w:val="32"/>
          <w:szCs w:val="32"/>
          <w14:textFill>
            <w14:solidFill>
              <w14:schemeClr w14:val="tx1"/>
            </w14:solidFill>
          </w14:textFill>
        </w:rPr>
        <w:t>落实《城市消防站建设标准》要求，重点结合本辖区的产业结构和道路情况，做好消防车辆的配备工作。加强消防车辆器材装备建设，优化装备结构，实现装备质量效能全面提升。逐步淘汰升级消防车辆装备，更新超期服役消防车，进一步加强消防员防护装备、特种攻坚装备、专业装备和工程机械配备。加强装备日常维护管理，健全装备管理制度，实现装备管理规范化、自动化、智能化。加强装备全功能使用训练，提升官兵用装、管装能力。按照要求消防员全部配备18种消防员基本防护装备，推广应用新型装备和应用训练专用装备，配备高压应急充气装置的正压式消防空气呼吸器等装备，使消防员个人防护装备达到国内先进水平。按照“全灾种、大应急”任务需求，乡镇消防站建设，应急物资储备等要求测算，2021—2023年三年需要新增配备各类消防车辆55辆、个人防护装备19512件套、其他救援器材26577件套。</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加快专业特种装备配备。</w:t>
      </w:r>
      <w:r>
        <w:rPr>
          <w:rFonts w:hint="eastAsia" w:ascii="仿宋_GB2312" w:hAnsi="宋体" w:eastAsia="仿宋_GB2312" w:cs="仿宋_GB2312"/>
          <w:color w:val="000000" w:themeColor="text1"/>
          <w:sz w:val="32"/>
          <w:szCs w:val="32"/>
          <w14:textFill>
            <w14:solidFill>
              <w14:schemeClr w14:val="tx1"/>
            </w14:solidFill>
          </w14:textFill>
        </w:rPr>
        <w:t>按照“种类齐全，结构合理，优势互补，资源共享，适度超前”的原则，重点针对大跨度、大空间、石油化工、高层建筑、地下空间、建筑物倒塌、洪涝等灾害事故特点，加大针对性技术装备配备，如短轴距云梯消防车、大排量排烟消防车、正压式路轨两用消防车、远程供水系统、举高破拆消防车等特种装备；结合日趋复杂的事故现场，配备无人机、水下搜救机器人等高科技装备，以符合特殊场所和区域灭火任务专业化处置要求，提升应急突发灾害能力和水平。紧盯灭火救援实战需要，加强工程机械配备，优化战保车辆结构性能，提高大型灾害事故应急保障能力，配备较强机动性的轮式装载机、轮式推土机、大功率履带式挖掘机、牵引式平板运输车。</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加快补齐特种攻坚装备短板。</w:t>
      </w:r>
      <w:r>
        <w:rPr>
          <w:rFonts w:hint="eastAsia" w:ascii="仿宋_GB2312" w:hAnsi="宋体" w:eastAsia="仿宋_GB2312" w:cs="仿宋_GB2312"/>
          <w:color w:val="000000" w:themeColor="text1"/>
          <w:sz w:val="32"/>
          <w:szCs w:val="32"/>
          <w14:textFill>
            <w14:solidFill>
              <w14:schemeClr w14:val="tx1"/>
            </w14:solidFill>
          </w14:textFill>
        </w:rPr>
        <w:t>按照“满足当前，适度超前”原则，深入开展装备假设评估论证，及时制订、修订装备建设规划和配备标准。加强负责恶劣环境和极限条件下的特种攻坚装备配备，配齐配强高层建筑、地下工程、大跨度建筑、石油化工等特殊火灾扑救，地震、洪涝等自然灾害救援和突发公共卫生事件处置等任务需要的关键装备，针对性配备多功能灭火机器人、危险作业机器人、消防无人机等智能装备，探索应用机械式骨骼、自走机器人等辅助设备，加快形成适应多灾种的系统化、智能化、模块化、专业化灭火救援装备系列、鼓励推广无毒害、高效能和适用于新材料等领域的新型灭火药剂，提高灭火效能，减少次生损害，降低环境污染。</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加快推动装备结构优化转型。</w:t>
      </w:r>
      <w:r>
        <w:rPr>
          <w:rFonts w:hint="eastAsia" w:ascii="仿宋_GB2312" w:hAnsi="宋体" w:eastAsia="仿宋_GB2312" w:cs="仿宋_GB2312"/>
          <w:color w:val="000000" w:themeColor="text1"/>
          <w:sz w:val="32"/>
          <w:szCs w:val="32"/>
          <w14:textFill>
            <w14:solidFill>
              <w14:schemeClr w14:val="tx1"/>
            </w14:solidFill>
          </w14:textFill>
        </w:rPr>
        <w:t>完善装备技术标准，深化装备统型和升级换代，提高装备“三化”（通用化、系列化、组合化）和实践化水平。按照“安全舒适、性能优良、质量可靠”原则，推动消防员基本防护装备升级，加强水域、山岳、危险化学品等特种防护装备配备。按照执勤装备与训练装备相分离要求，优化升级化学防护服、侦检器材等训练专用装备，加大消防车辆、工程设备操纵装置和仿真模拟训练系统运用，提升人装有机结合训练成效。优化升级消防车辆安全、机动性能和多功能用途，加强餐饮、宿营、淋浴、移动供电照明、模块化运输等保障车辆编组配备，支持重点地区装备建设，优先为多灾易灾地区配备特种攻坚装备，加大基层一线地区装备建设扶持力度。</w:t>
      </w:r>
    </w:p>
    <w:p>
      <w:pPr>
        <w:snapToGrid w:val="0"/>
        <w:spacing w:line="620" w:lineRule="exact"/>
        <w:ind w:firstLine="643" w:firstLineChars="200"/>
        <w:rPr>
          <w:color w:val="000000" w:themeColor="text1"/>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加快提升装备管理质量水平。</w:t>
      </w:r>
      <w:r>
        <w:rPr>
          <w:rFonts w:hint="eastAsia" w:ascii="仿宋_GB2312" w:hAnsi="宋体" w:eastAsia="仿宋_GB2312" w:cs="仿宋_GB2312"/>
          <w:color w:val="000000" w:themeColor="text1"/>
          <w:sz w:val="32"/>
          <w:szCs w:val="32"/>
          <w14:textFill>
            <w14:solidFill>
              <w14:schemeClr w14:val="tx1"/>
            </w14:solidFill>
          </w14:textFill>
        </w:rPr>
        <w:t>完善装备体系、加强装备市场准入、采购验收、使用管理、维护保养、退役报废等全生命周期管理。强化装备质量监管，探索推行政府购买服务、企业合作等运行模式，加强装备定期监测标定。加强装备维护管理，建设区域和自治区消防救援装备维修中心，建立防护服“4S”清洗维护站，升级基层消防救援站“两室一站”（气瓶充电室、维修室、水压检测站）功能，推广应用装备远程技术保障模式。</w:t>
      </w:r>
    </w:p>
    <w:p>
      <w:pPr>
        <w:pStyle w:val="4"/>
        <w:numPr>
          <w:ilvl w:val="0"/>
          <w:numId w:val="5"/>
        </w:numPr>
        <w:rPr>
          <w:color w:val="000000" w:themeColor="text1"/>
          <w14:textFill>
            <w14:solidFill>
              <w14:schemeClr w14:val="tx1"/>
            </w14:solidFill>
          </w14:textFill>
        </w:rPr>
      </w:pPr>
      <w:bookmarkStart w:id="67" w:name="_Toc26038"/>
      <w:r>
        <w:rPr>
          <w:rFonts w:hint="eastAsia"/>
          <w:color w:val="000000" w:themeColor="text1"/>
          <w14:textFill>
            <w14:solidFill>
              <w14:schemeClr w14:val="tx1"/>
            </w14:solidFill>
          </w14:textFill>
        </w:rPr>
        <w:t>加快提升战勤保障能力</w:t>
      </w:r>
      <w:bookmarkEnd w:id="67"/>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立足抗大灾救大险，统筹社会资源，创新建设机制，建实各级战勤保障力量，提升“全灾种、大应急”的保障能力。推进多种形式战勤保障力量实体化建设，创新建设模式，配齐战勤保障人员及车辆装备，分级建立实体运转、高效遂行的战勤保障机构。加强应急救援装备技术保障中心建设，建设维修检测等设施，配足相关专业设备及专业维修人员。健全战勤保障分级响应、力量调度、组织指挥机制，强化巨灾战勤保障能力评估，科学编制战勤保障预案，建立跨部门合作、跨区域协同和社会联动机制，强化应急保障演练，提升协同保障和应急联动能力。</w:t>
      </w:r>
    </w:p>
    <w:p>
      <w:pPr>
        <w:pStyle w:val="4"/>
        <w:numPr>
          <w:ilvl w:val="0"/>
          <w:numId w:val="5"/>
        </w:numPr>
        <w:rPr>
          <w:color w:val="000000" w:themeColor="text1"/>
          <w14:textFill>
            <w14:solidFill>
              <w14:schemeClr w14:val="tx1"/>
            </w14:solidFill>
          </w14:textFill>
        </w:rPr>
      </w:pPr>
      <w:bookmarkStart w:id="68" w:name="_Toc30324"/>
      <w:r>
        <w:rPr>
          <w:rFonts w:hint="eastAsia"/>
          <w:color w:val="000000" w:themeColor="text1"/>
          <w14:textFill>
            <w14:solidFill>
              <w14:schemeClr w14:val="tx1"/>
            </w14:solidFill>
          </w14:textFill>
        </w:rPr>
        <w:t>加快提升应急装备物资模块化储运能力</w:t>
      </w:r>
      <w:bookmarkEnd w:id="68"/>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制定实施应急装备物资保障体系建设纲要，建立“功能化配置、模块化储运、编组化保障”的应急装备物资储备体系。加大装备物资实物储备，多点分布建设市级应急装备物资储备库，科学制定储备标准，优化储备结构，合理扩大各级、各类装备物资储备品种和规模。聚焦最大风险、最不利条件，在交通不便和灾害风险等级高的地区实行应急装备物资饱和式储备。建立完善企业协议储备、产能储备等机制，统筹运用紧急生产供应、收储轮换、调拨调用等方式，拓宽物资供应渠道。整合社会储运投送资源，综合运用仓储、物流等成熟储运网络和高铁、航空等现代运输方式，建立完善紧急运力调集、跨区域优先快速通行等机制，提高应急装备物资快速精准投送能力。完善重大特大灾害事故救援现场战勤保障力量分级响应机制、跨区域协同保障机制和社会联动保障机制，建立社会保障力量征用和补偿措施，制定战时经费保障标准和支出管理办法。</w:t>
      </w:r>
    </w:p>
    <w:p>
      <w:pPr>
        <w:pStyle w:val="4"/>
        <w:numPr>
          <w:ilvl w:val="0"/>
          <w:numId w:val="5"/>
        </w:numPr>
        <w:rPr>
          <w:color w:val="000000" w:themeColor="text1"/>
          <w14:textFill>
            <w14:solidFill>
              <w14:schemeClr w14:val="tx1"/>
            </w14:solidFill>
          </w14:textFill>
        </w:rPr>
      </w:pPr>
      <w:bookmarkStart w:id="69" w:name="_Toc32729"/>
      <w:r>
        <w:rPr>
          <w:rFonts w:hint="eastAsia"/>
          <w:color w:val="000000" w:themeColor="text1"/>
          <w14:textFill>
            <w14:solidFill>
              <w14:schemeClr w14:val="tx1"/>
            </w14:solidFill>
          </w14:textFill>
        </w:rPr>
        <w:t>加快提升现场通信保障能力</w:t>
      </w:r>
      <w:bookmarkEnd w:id="69"/>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建设空天地一体化通信网、指挥网，配齐配强智能化、轻型化、集成化、模块化关键通信装备，打造高效畅通、稳定可靠的现场指挥应急通信系统，形成“全天候、全地域、全灾种”应急通信体系，满足“断路、断网、断电”极端恶劣条件下应急救援现场融合通信需要。加快消防救援领域大型无人机、智能跟踪拍摄机器人、高适应性卫星通信、宽窄带智能中继、5G、无人机集群等新装备、新技术、新战法建设应用，破解建筑物、地下空间、地铁线路等通信难题，满足特殊灾害现场实时通信需要。发展“轻骑兵”前突通信小队、志愿消防速报员等机动力量，配备先进适用通信装备，延伸应急通信“触角”。</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3"/>
        <w:numPr>
          <w:ilvl w:val="0"/>
          <w:numId w:val="6"/>
        </w:numPr>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r>
        <w:rPr>
          <w:rFonts w:hint="eastAsia" w:ascii="方正小标宋_GBK" w:hAnsi="Calibri" w:eastAsia="方正小标宋_GBK"/>
          <w:b w:val="0"/>
          <w:color w:val="000000" w:themeColor="text1"/>
          <w:sz w:val="36"/>
          <w:szCs w:val="36"/>
          <w14:textFill>
            <w14:solidFill>
              <w14:schemeClr w14:val="tx1"/>
            </w14:solidFill>
          </w14:textFill>
        </w:rPr>
        <w:t xml:space="preserve">  </w:t>
      </w:r>
      <w:bookmarkStart w:id="70" w:name="_Toc28482"/>
      <w:r>
        <w:rPr>
          <w:rFonts w:hint="eastAsia" w:ascii="方正小标宋_GBK" w:hAnsi="Calibri" w:eastAsia="方正小标宋_GBK"/>
          <w:b w:val="0"/>
          <w:color w:val="000000" w:themeColor="text1"/>
          <w:sz w:val="36"/>
          <w:szCs w:val="36"/>
          <w14:textFill>
            <w14:solidFill>
              <w14:schemeClr w14:val="tx1"/>
            </w14:solidFill>
          </w14:textFill>
        </w:rPr>
        <w:t>推进信息化建设，打造智慧消防</w:t>
      </w:r>
      <w:bookmarkEnd w:id="70"/>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按照“统分结合”的原则，统筹规划，科学设计“智慧消防”总体构架，强化顶层设计和过程管控，统一关键数据和接口标准，有序推进银川“智慧消防”建设系统。积极推动将“智慧消防”融入“智慧银川”发展规划，引入社会力量参与建设创新“政产学研用”各类主体协同建设模式，形成政府牵头、消防主导、多方参与、可持续发展的健康发展格局。深化先进技术在消防领域创新应用，在总体框架下积极推进一批“智慧感知、智慧防控、智慧指挥、智慧管理、智慧保障”工程建设，市县火灾防控精准化、应急救援智能化。综合运用物联网、云计算、大数据、移动互联网等新兴信息技术，创新建立火灾防控社会管理新模式，推进“智慧消防”建设，努力实现“智慧消防”和“智慧城市”同步规划、同步建设、同步实施。建设信息化基础设施和应用平台，全面促进信息化与消防业务深度融合，构建立体化、全覆盖的社会火灾防控体系，建立“智能分析研判、主动预警预知、数据辅助决策、科学指导实战”的消防工作新机制，实现“传统消防”向“现代消防”的转变。</w:t>
      </w:r>
    </w:p>
    <w:p>
      <w:pPr>
        <w:pStyle w:val="4"/>
      </w:pPr>
      <w:bookmarkStart w:id="71" w:name="_Toc746"/>
      <w:r>
        <w:rPr>
          <w:rFonts w:hint="eastAsia"/>
          <w:color w:val="000000" w:themeColor="text1"/>
          <w14:textFill>
            <w14:solidFill>
              <w14:schemeClr w14:val="tx1"/>
            </w14:solidFill>
          </w14:textFill>
        </w:rPr>
        <w:t>（一）</w:t>
      </w:r>
      <w:bookmarkEnd w:id="71"/>
      <w:r>
        <w:rPr>
          <w:rFonts w:hint="eastAsia"/>
        </w:rPr>
        <w:t>加强消防科技实践应用</w:t>
      </w:r>
    </w:p>
    <w:p>
      <w:pPr>
        <w:snapToGrid w:val="0"/>
        <w:spacing w:line="620" w:lineRule="exact"/>
        <w:ind w:firstLine="640" w:firstLineChars="200"/>
        <w:rPr>
          <w:rFonts w:ascii="仿宋_GB2312" w:hAnsi="宋体" w:eastAsia="仿宋_GB2312" w:cs="仿宋_GB2312"/>
          <w:sz w:val="32"/>
          <w:szCs w:val="32"/>
        </w:rPr>
      </w:pPr>
      <w:bookmarkStart w:id="72" w:name="_Toc21559"/>
      <w:r>
        <w:rPr>
          <w:rFonts w:hint="eastAsia" w:ascii="仿宋_GB2312" w:hAnsi="宋体" w:eastAsia="仿宋_GB2312" w:cs="仿宋_GB2312"/>
          <w:sz w:val="32"/>
          <w:szCs w:val="32"/>
        </w:rPr>
        <w:t>落实创新驱动发展战略，优化科研激励机制，激发消防科技创新活力，加强与科研院所、高校、企业科研单位的沟通交流，鼓励开展消防科技研发工作，针对工作中适用性装备的瓶颈性问题及科技装备实际使用情况，积极提出消防装备科研需求或申报消防科研项目进行研究。强化对现有消防科技试点应用装备的操作使用，组织指战员轮流使用装备器材，认真总结科研装备使用过程中发现的问题，积极提出改进意见建议。提升火灾调查科技装备的学习与应用，加强火场视频分析、3D建模、火场快速制图等软件及技术装备的学习使用，有效提升科技装备在调查工作中的实践应用。</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（二）提升消防信息化基础支撑能力</w:t>
      </w:r>
      <w:bookmarkEnd w:id="72"/>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积极运用大数据、云计算、人工智能等新一代信息技术，构建开放共享、易于迭代的新型信息化架构，规范业务系统建设标准，鼓励各区县个性化开发，搭建消防应用“大市场”，实现各类业务系统互联互通、数据共享，形成全员参与、众创众智建设应用格局。坚持数用分离、智能驱动的思路，构建符合大数据发展趋势的消防数据管理体系，分级分类建设基础数据资源池和大数据主题库，确保数据真实、安全、开放，为大数据深度分析应用提供保障。统筹规划和加强消防通信网络、地理信息、模型算法、智能运维、安全防护等基础设施和服务“新基建”建设，全面提升消防信息化基础支撑能力。建立消防信息化项目建设成果量化验证体系，确保建设质量和效果。</w:t>
      </w:r>
    </w:p>
    <w:p>
      <w:pPr>
        <w:pStyle w:val="4"/>
        <w:rPr>
          <w:color w:val="000000" w:themeColor="text1"/>
          <w14:textFill>
            <w14:solidFill>
              <w14:schemeClr w14:val="tx1"/>
            </w14:solidFill>
          </w14:textFill>
        </w:rPr>
      </w:pPr>
      <w:bookmarkStart w:id="73" w:name="_Toc26033"/>
      <w:r>
        <w:rPr>
          <w:rFonts w:hint="eastAsia"/>
          <w:color w:val="000000" w:themeColor="text1"/>
          <w14:textFill>
            <w14:solidFill>
              <w14:schemeClr w14:val="tx1"/>
            </w14:solidFill>
          </w14:textFill>
        </w:rPr>
        <w:t>（三）深化“智慧消防”应用</w:t>
      </w:r>
      <w:bookmarkEnd w:id="73"/>
    </w:p>
    <w:p>
      <w:pPr>
        <w:snapToGrid w:val="0"/>
        <w:spacing w:line="620" w:lineRule="exact"/>
        <w:ind w:firstLine="643" w:firstLineChars="200"/>
        <w:rPr>
          <w:rFonts w:ascii="仿宋_GB2312" w:hAnsi="宋体" w:eastAsia="仿宋_GB2312" w:cs="仿宋_GB2312"/>
          <w:color w:val="FF0000"/>
          <w:sz w:val="32"/>
          <w:szCs w:val="32"/>
        </w:rPr>
      </w:pPr>
      <w:r>
        <w:rPr>
          <w:rFonts w:hint="eastAsia" w:ascii="仿宋_GB2312" w:hAnsi="宋体" w:eastAsia="仿宋_GB2312" w:cs="仿宋_GB2312"/>
          <w:b/>
          <w:bCs/>
          <w:color w:val="000000" w:themeColor="text1"/>
          <w:sz w:val="32"/>
          <w:szCs w:val="32"/>
          <w14:textFill>
            <w14:solidFill>
              <w14:schemeClr w14:val="tx1"/>
            </w14:solidFill>
          </w14:textFill>
        </w:rPr>
        <w:t>建设“一张图”119实战指挥平台。</w:t>
      </w:r>
      <w:r>
        <w:rPr>
          <w:rFonts w:hint="eastAsia" w:ascii="仿宋_GB2312" w:hAnsi="仿宋_GB2312" w:eastAsia="仿宋_GB2312" w:cs="仿宋_GB2312"/>
          <w:sz w:val="32"/>
          <w:szCs w:val="32"/>
        </w:rPr>
        <w:t>完成银川市消防119指挥中心系统升级改造，完成智能接处警系统、智能指挥系统本地化部署，依托政务外网和消防指挥调度网、边界接入平台，完成消防救援“一张图”接入，水源信息、重点单位信息标注率达到100%，积极协调市级行业部门数据、资源共享。大力提升官兵使用卫星便携站、5G图传、无线通信等各种应急通信装备，在深度整合信息资源的基础上，实现灭火救援信息要素的“大数据”分析和“一张图”展示，实现科学化、智能化、扁平化实战指挥。</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建设消防数字通信专网。</w:t>
      </w:r>
      <w:r>
        <w:rPr>
          <w:rFonts w:hint="eastAsia" w:ascii="仿宋_GB2312" w:hAnsi="仿宋_GB2312" w:eastAsia="仿宋_GB2312" w:cs="仿宋_GB2312"/>
          <w:sz w:val="32"/>
          <w:szCs w:val="32"/>
        </w:rPr>
        <w:t>依托运营商5G行业专网产品完成5G数字专网建设</w:t>
      </w:r>
      <w:r>
        <w:rPr>
          <w:rFonts w:hint="eastAsia" w:ascii="仿宋_GB2312" w:hAnsi="宋体" w:eastAsia="仿宋_GB2312" w:cs="仿宋_GB2312"/>
          <w:color w:val="000000" w:themeColor="text1"/>
          <w:sz w:val="32"/>
          <w:szCs w:val="32"/>
          <w14:textFill>
            <w14:solidFill>
              <w14:schemeClr w14:val="tx1"/>
            </w14:solidFill>
          </w14:textFill>
        </w:rPr>
        <w:t>，实现城区覆盖率达到100%，将消防通信纳入银川市警用数字集群通信系统（PDT）。</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建设银川市消防数据中心。</w:t>
      </w:r>
      <w:r>
        <w:rPr>
          <w:rFonts w:hint="eastAsia" w:ascii="仿宋_GB2312" w:hAnsi="宋体" w:eastAsia="仿宋_GB2312" w:cs="仿宋_GB2312"/>
          <w:color w:val="000000" w:themeColor="text1"/>
          <w:sz w:val="32"/>
          <w:szCs w:val="32"/>
          <w14:textFill>
            <w14:solidFill>
              <w14:schemeClr w14:val="tx1"/>
            </w14:solidFill>
          </w14:textFill>
        </w:rPr>
        <w:t>完成银川市消防支队数据中心建设，采集作战基础数据和队伍信息，制作数字化预案；将数字化管理应用平台通过与其他消防信息平台相连，在现场实现地理信息测量、作战部署标绘、辅助单兵定位等功能，辅助现场指挥；在室内熟悉演练、指挥推演、三维场景展示等；依托无人机、高空探头等资源，构建灭火应急救援空中侦察力量，最终实现火灾防控“智能预警、主动防控、阳光服务”、灭火救援“高效调度、扁平指挥、科学决策”、队伍管理“可视管理、科学施教、减负增效”目标。</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建设“智慧”社会消防安全管理系统。</w:t>
      </w:r>
      <w:r>
        <w:rPr>
          <w:rFonts w:hint="eastAsia" w:ascii="仿宋_GB2312" w:hAnsi="宋体" w:eastAsia="仿宋_GB2312" w:cs="仿宋_GB2312"/>
          <w:color w:val="000000" w:themeColor="text1"/>
          <w:sz w:val="32"/>
          <w:szCs w:val="32"/>
          <w14:textFill>
            <w14:solidFill>
              <w14:schemeClr w14:val="tx1"/>
            </w14:solidFill>
          </w14:textFill>
        </w:rPr>
        <w:t>与银川市“智慧城市”建设同步进行，与政府有关部门数据互联互通；将“智慧消防”嵌入“智慧城市”管理，实现政府统一领导，各部门齐抓共管的消防安全责任体系；积极创新社会消防管理；拓展社会公众消防安全服务平台功能。</w:t>
      </w:r>
    </w:p>
    <w:p>
      <w:pPr>
        <w:pStyle w:val="4"/>
        <w:rPr>
          <w:color w:val="000000" w:themeColor="text1"/>
          <w14:textFill>
            <w14:solidFill>
              <w14:schemeClr w14:val="tx1"/>
            </w14:solidFill>
          </w14:textFill>
        </w:rPr>
      </w:pPr>
      <w:bookmarkStart w:id="74" w:name="_Toc25231"/>
      <w:r>
        <w:rPr>
          <w:rFonts w:hint="eastAsia"/>
          <w:color w:val="000000" w:themeColor="text1"/>
          <w14:textFill>
            <w14:solidFill>
              <w14:schemeClr w14:val="tx1"/>
            </w14:solidFill>
          </w14:textFill>
        </w:rPr>
        <w:t>（四）推动智慧业务应用建设</w:t>
      </w:r>
      <w:bookmarkEnd w:id="74"/>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开展消防智慧大脑建设。</w:t>
      </w:r>
      <w:r>
        <w:rPr>
          <w:rFonts w:hint="eastAsia" w:ascii="仿宋_GB2312" w:hAnsi="宋体" w:eastAsia="仿宋_GB2312" w:cs="仿宋_GB2312"/>
          <w:color w:val="000000" w:themeColor="text1"/>
          <w:sz w:val="32"/>
          <w:szCs w:val="32"/>
          <w14:textFill>
            <w14:solidFill>
              <w14:schemeClr w14:val="tx1"/>
            </w14:solidFill>
          </w14:textFill>
        </w:rPr>
        <w:t>依托消防指挥中心基础环境和应急通信等手段，运用人工智能、语音图像识别、智能检索、定位导航等技术，建设具有智能研判、精准指挥、智能辅助、迭代进化等特性的消防智慧大脑。</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启动灾情防控系统建设。</w:t>
      </w:r>
      <w:r>
        <w:rPr>
          <w:rFonts w:hint="eastAsia" w:ascii="仿宋_GB2312" w:hAnsi="宋体" w:eastAsia="仿宋_GB2312" w:cs="仿宋_GB2312"/>
          <w:color w:val="000000" w:themeColor="text1"/>
          <w:sz w:val="32"/>
          <w:szCs w:val="32"/>
          <w14:textFill>
            <w14:solidFill>
              <w14:schemeClr w14:val="tx1"/>
            </w14:solidFill>
          </w14:textFill>
        </w:rPr>
        <w:t>选择城市消防物联网远程监控系统、“互联网+监管”应用较好的单位，开展基于互联网的消防监督管理系统试点改造，同步启动消防灾情防控系统建设。</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实现实战指挥系统三级联网运行。</w:t>
      </w:r>
      <w:r>
        <w:rPr>
          <w:rFonts w:hint="eastAsia" w:ascii="仿宋_GB2312" w:hAnsi="宋体" w:eastAsia="仿宋_GB2312" w:cs="仿宋_GB2312"/>
          <w:color w:val="000000" w:themeColor="text1"/>
          <w:sz w:val="32"/>
          <w:szCs w:val="32"/>
          <w14:textFill>
            <w14:solidFill>
              <w14:schemeClr w14:val="tx1"/>
            </w14:solidFill>
          </w14:textFill>
        </w:rPr>
        <w:t>将“消防一张图”作为“应急指挥一张图”的子图，深度融入其中，进一步强化地震等地质性灾害救援专业功能，充实拓展内外部相关信息资源，实现地震及地质性灾害灾情信息、救援力量、救援物资调度、多受灾地灾情全程跟踪管理；同步研发人工智能和深度学习功能，自动生成作战方案、处置要点、风险预警及灾情研判结论，通过图像识别和语音识别技术为各级指挥员提供决策支持。</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升级更新消防指挥视频系统。</w:t>
      </w:r>
      <w:r>
        <w:rPr>
          <w:rFonts w:hint="eastAsia" w:ascii="仿宋_GB2312" w:hAnsi="宋体" w:eastAsia="仿宋_GB2312" w:cs="仿宋_GB2312"/>
          <w:color w:val="000000" w:themeColor="text1"/>
          <w:sz w:val="32"/>
          <w:szCs w:val="32"/>
          <w14:textFill>
            <w14:solidFill>
              <w14:schemeClr w14:val="tx1"/>
            </w14:solidFill>
          </w14:textFill>
        </w:rPr>
        <w:t>完成指挥视频系统高清化改造及老旧设备更新，配合做好指挥视频等相关系统的对接建设，确保应急管理部门、消防救援队伍通过指挥终端实现应急指挥调度、逐级值班点名、日常视频会商等常态化应用，提升应急通信联合保障能力。</w:t>
      </w:r>
    </w:p>
    <w:p>
      <w:pPr>
        <w:pStyle w:val="4"/>
        <w:rPr>
          <w:rFonts w:ascii="仿宋_GB2312" w:eastAsia="仿宋_GB2312"/>
          <w:color w:val="000000" w:themeColor="text1"/>
          <w14:textFill>
            <w14:solidFill>
              <w14:schemeClr w14:val="tx1"/>
            </w14:solidFill>
          </w14:textFill>
        </w:rPr>
      </w:pPr>
      <w:bookmarkStart w:id="75" w:name="_Toc21443"/>
      <w:r>
        <w:rPr>
          <w:rFonts w:hint="eastAsia"/>
          <w:color w:val="000000" w:themeColor="text1"/>
          <w14:textFill>
            <w14:solidFill>
              <w14:schemeClr w14:val="tx1"/>
            </w14:solidFill>
          </w14:textFill>
        </w:rPr>
        <w:t>（五）全面建设消防物联网监控系统</w:t>
      </w:r>
      <w:bookmarkEnd w:id="75"/>
    </w:p>
    <w:p>
      <w:pPr>
        <w:adjustRightInd w:val="0"/>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在“智慧消防”物联网远程监控系统中，加大推广应用物联传感、温度传感、火灾烟雾监测、水压监测、电气火灾监控、视频监控等感知设备，加强消防安全智能化、信息化预警监测，实现消防数据物联感知、智能感知。督促设有自动消防设施的消防安全重点单位、高层建筑、人员密集场所、文物古建筑、易燃易爆场所、消防技术服务机构等与各地消防物联网远程监控中心进行联网，力争到2023年，所有重点单位和设有自动消防设施的其他单位全部接入监控平台。</w:t>
      </w:r>
    </w:p>
    <w:p>
      <w:pPr>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br w:type="page"/>
      </w:r>
    </w:p>
    <w:p>
      <w:pPr>
        <w:pStyle w:val="3"/>
        <w:numPr>
          <w:ilvl w:val="0"/>
          <w:numId w:val="6"/>
        </w:numPr>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r>
        <w:rPr>
          <w:rFonts w:hint="eastAsia" w:ascii="方正小标宋_GBK" w:hAnsi="Calibri" w:eastAsia="方正小标宋_GBK"/>
          <w:b w:val="0"/>
          <w:color w:val="000000" w:themeColor="text1"/>
          <w:sz w:val="36"/>
          <w:szCs w:val="36"/>
          <w14:textFill>
            <w14:solidFill>
              <w14:schemeClr w14:val="tx1"/>
            </w14:solidFill>
          </w14:textFill>
        </w:rPr>
        <w:t xml:space="preserve">  </w:t>
      </w:r>
      <w:bookmarkStart w:id="76" w:name="_Toc5549"/>
      <w:r>
        <w:rPr>
          <w:rFonts w:hint="eastAsia" w:ascii="方正小标宋_GBK" w:hAnsi="Calibri" w:eastAsia="方正小标宋_GBK"/>
          <w:b w:val="0"/>
          <w:color w:val="000000" w:themeColor="text1"/>
          <w:sz w:val="36"/>
          <w:szCs w:val="36"/>
          <w14:textFill>
            <w14:solidFill>
              <w14:schemeClr w14:val="tx1"/>
            </w14:solidFill>
          </w14:textFill>
        </w:rPr>
        <w:t>坚定落实各项改革措施，推进消防救援队伍转型升级</w:t>
      </w:r>
      <w:bookmarkEnd w:id="76"/>
    </w:p>
    <w:p>
      <w:pPr>
        <w:pStyle w:val="4"/>
        <w:rPr>
          <w:color w:val="000000" w:themeColor="text1"/>
          <w14:textFill>
            <w14:solidFill>
              <w14:schemeClr w14:val="tx1"/>
            </w14:solidFill>
          </w14:textFill>
        </w:rPr>
      </w:pPr>
      <w:bookmarkStart w:id="77" w:name="_Toc26770"/>
      <w:r>
        <w:rPr>
          <w:rFonts w:hint="eastAsia"/>
          <w:color w:val="000000" w:themeColor="text1"/>
          <w14:textFill>
            <w14:solidFill>
              <w14:schemeClr w14:val="tx1"/>
            </w14:solidFill>
          </w14:textFill>
        </w:rPr>
        <w:t>（一）大力提升队伍正规化建设水平</w:t>
      </w:r>
      <w:bookmarkEnd w:id="77"/>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聚焦战斗力生成，坚持“五个不动摇”，遵循“政治建队、改革强队、依法治队”的抓建思路，加快构建上下贯通、运行高效的管理体系，破解制约队伍建设长远发展的瓶颈问题，提高队伍正规化建设水平。全面从严管党治队，充分发挥政治工作生命线作用，尊重指战员主体地位和首创精神，提升领导指挥机关能力水平，建设一支忠诚干净担当、经得起各类风险考验的指战员队伍。广泛开展队伍正规化达标建设，深入实施国家综合性消防救援队伍《内务条令》《队列条令》和基层建设纲要，重塑“执勤、训练、工作、生活”四个秩序，推动政治工作、监督执法、应急救援等各领域全面发展，锤炼消防指战员法治思维、战斗精神和职业素养，提高打赢致胜能力。牢固树立人才引领转型发展的观念，深化人才发展规划，建设结构合理、一专多能、专常兼备的专业化人才队伍。拓宽人才来源渠道，完善消防救援人员招录、引进机制，突出专业导向，扩大骨干保留比例，探索定向招录、定向培养等模式，增强专业人才供给精准度。加强应急救援、消防科技等重点领域人才队伍建设，实施科技领军人才和学术带头人培养工程，加大人才社会协同培养和国际交流，建设高素质人才队伍。2025年，基本形成一套符合消防救援职业特点的正规化建设标准体系和管理教育模式，各级消防救援队伍正规化建设水平显著提升，树立起应急管理队伍正规化建设的标杆。</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持续打造专业化消防队伍。</w:t>
      </w:r>
      <w:r>
        <w:rPr>
          <w:rFonts w:hint="eastAsia" w:ascii="仿宋_GB2312" w:hAnsi="宋体" w:eastAsia="仿宋_GB2312" w:cs="仿宋_GB2312"/>
          <w:color w:val="000000" w:themeColor="text1"/>
          <w:sz w:val="32"/>
          <w:szCs w:val="32"/>
          <w14:textFill>
            <w14:solidFill>
              <w14:schemeClr w14:val="tx1"/>
            </w14:solidFill>
          </w14:textFill>
        </w:rPr>
        <w:t>深入推进全市消防队伍战斗力提升，将灭火救援专业队伍建设作为政府工程的重要内容，纳入基础设施建设投资计划和财政预算予以保障。优化特勤队伍构成，结合银川实际强化专业型攻坚队建设，强化高层、地震、石油化工、山岳、水域专业救援队的装备完善、队伍建设工作；完善危险化学品泄露、地下建筑专业救援队建设。突出专业训练，依托消防总队银川区域训练模拟设施和银川消防综合训练基地开展恶劣环境心理训练、复杂危险环境适应性和灾害模拟处置训练，切实提升处置特殊灾害事故的专业能力。修订、完善火灾事故应急预案，依照相关法律、法规规定，进一步落实各级各部门、基层各企业单位的应急预案备案制度。充分利用信息化手段，提高预案实战应用需求，提升消防救援队伍的专业化水平。</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配强配齐灭火救援力量。</w:t>
      </w:r>
      <w:r>
        <w:rPr>
          <w:rFonts w:hint="eastAsia" w:ascii="仿宋_GB2312" w:hAnsi="宋体" w:eastAsia="仿宋_GB2312" w:cs="仿宋_GB2312"/>
          <w:color w:val="000000" w:themeColor="text1"/>
          <w:sz w:val="32"/>
          <w:szCs w:val="32"/>
          <w14:textFill>
            <w14:solidFill>
              <w14:schemeClr w14:val="tx1"/>
            </w14:solidFill>
          </w14:textFill>
        </w:rPr>
        <w:t>2021年底前配齐配强灭火救援指挥部人员，做到实体化运转、战斗化准备、快速化反应、专业化指挥。在2022年6月份前，所有基层大队、消防救援站按要求完成正规化建设任务。全面真实统计消防救援队伍应对典型灾种救援实力情况（含人员配备数量、特种岗位人员资格、各类救援装备类别数量）。全面真实统计应对典型灾种社会应急力量实力情况（含救援专业方向、单位资质、人员配备数量、特种岗位人员资格、主要救援装备类别数量）。完善灭火救援专家组制度，适时调整、增补相关行业和领域专家，充实市、区（县）两级专家库；健全专家组运作机制，强化会商研讨应急响应和辅助决策，为各类应急救援提供“智慧”支持。探素完善涵盖现役、专职消防员的职业技能鉴定体系，构建系统完整的考核评价标准，不断扩大职业技能鉴定受众范围。</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在能力建设上打造科学高效、专业精准的综合应急救援队伍。</w:t>
      </w:r>
      <w:r>
        <w:rPr>
          <w:rFonts w:hint="eastAsia" w:ascii="仿宋_GB2312" w:hAnsi="宋体" w:eastAsia="仿宋_GB2312" w:cs="仿宋_GB2312"/>
          <w:color w:val="000000" w:themeColor="text1"/>
          <w:sz w:val="32"/>
          <w:szCs w:val="32"/>
          <w14:textFill>
            <w14:solidFill>
              <w14:schemeClr w14:val="tx1"/>
            </w14:solidFill>
          </w14:textFill>
        </w:rPr>
        <w:t>全面聚焦我市地理位置、产业分布和作战实力，继续巩固发挥消防救援队传统优势，积极整合资源、加快转型升级，努力建设优势互补、一专多能的综合性消防救援力量。一是要建“强”特勤队伍，按照应急救援尖刀队、灾害处置专业队、业务训练示教队的特勤职能定位要求，人员选拔要强于普通队站，装备配备要精于普通队站，训练标准要严于普通队站，专业素养要高于普通队站，特勤形象要好于普通队站，把特勤队伍建设成为人员精干、装备一流、管理规范、业务精湛、处置专业、能攻善战的综合性应急救援力量。二是要建“优”专业队伍，针对辖区易发高发的或可能出现的灾害事故类型及其一般规律特点，集中优势力量，配置专门装备；分类建设危险化学品泄露、地下建筑、抗洪抢险专业救援队，按照有关规定落实应急救援队伍的经费、装备、物资等保障措施；继续充实高层地下、石油化工、道路交通事故、山岳、水域等专业救援队伍，逐步配备配齐“高精尖”的救援装备，打造一批应对各类重特大灾害事故救援的拳头力量、攻坚力量。三是要建“实”普通队伍，按照《城市消防站建设标准》，逐步完善争取增加消防力量编制，择优招录配齐消防人员，全面夯实基层消防力量。结合基层普通消防站所处的地域区位特色和面对的灾情处置特点，因地制宜搞建设、因材施教抓训练，有针对性地加强适应辖区灾害事故实际情况的应急救援能力，激发一队多能、一专多能的多重效能，充分发挥大灾大火先期处置、小灾小火迅速响应的重要作用。</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大力发展政府专职消防队。</w:t>
      </w:r>
      <w:r>
        <w:rPr>
          <w:rFonts w:hint="eastAsia" w:ascii="仿宋_GB2312" w:hAnsi="宋体" w:eastAsia="仿宋_GB2312" w:cs="仿宋_GB2312"/>
          <w:color w:val="000000" w:themeColor="text1"/>
          <w:sz w:val="32"/>
          <w:szCs w:val="32"/>
          <w14:textFill>
            <w14:solidFill>
              <w14:schemeClr w14:val="tx1"/>
            </w14:solidFill>
          </w14:textFill>
        </w:rPr>
        <w:t>推动地方政府按照“应建尽建，按标建设”要求建设政府专职消防队，加强银川政府专职消防力量，将具备条件的政府专职消防队纳入国家综合性消防救援队伍统一管理。</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依法建立企业专职消防队。</w:t>
      </w:r>
      <w:r>
        <w:rPr>
          <w:rFonts w:hint="eastAsia" w:ascii="仿宋_GB2312" w:hAnsi="宋体" w:eastAsia="仿宋_GB2312" w:cs="仿宋_GB2312"/>
          <w:color w:val="000000" w:themeColor="text1"/>
          <w:sz w:val="32"/>
          <w:szCs w:val="32"/>
          <w14:textFill>
            <w14:solidFill>
              <w14:schemeClr w14:val="tx1"/>
            </w14:solidFill>
          </w14:textFill>
        </w:rPr>
        <w:t>落实企业主体责任，依法依规建设专职消防队，配齐配强人员、车辆设备，积极拓展职能，参加企业消防安全管理、消防宣传教育培训、动火等危险作业现场监护等工作，发挥火灾防控综合效能。建立企业专职消防队之间区域联勤联动机制，加强与国家综合性消防救援队伍的联勤联训，积极参与社会应急救援。</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积极发展志愿消防队。</w:t>
      </w:r>
      <w:r>
        <w:rPr>
          <w:rFonts w:hint="eastAsia" w:ascii="仿宋_GB2312" w:hAnsi="宋体" w:eastAsia="仿宋_GB2312" w:cs="仿宋_GB2312"/>
          <w:color w:val="000000" w:themeColor="text1"/>
          <w:sz w:val="32"/>
          <w:szCs w:val="32"/>
          <w14:textFill>
            <w14:solidFill>
              <w14:schemeClr w14:val="tx1"/>
            </w14:solidFill>
          </w14:textFill>
        </w:rPr>
        <w:t>建立志愿消防队建设发展和激励保障机制，在常住人口超过1000人的行政村或自然村建设志愿消防队，开展日常消防宣传、防火巡查和初起火灾扑救等火灾防控工作。</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全面普及微型消防站。</w:t>
      </w:r>
      <w:r>
        <w:rPr>
          <w:rFonts w:hint="eastAsia" w:ascii="仿宋_GB2312" w:hAnsi="宋体" w:eastAsia="仿宋_GB2312" w:cs="仿宋_GB2312"/>
          <w:color w:val="000000" w:themeColor="text1"/>
          <w:sz w:val="32"/>
          <w:szCs w:val="32"/>
          <w14:textFill>
            <w14:solidFill>
              <w14:schemeClr w14:val="tx1"/>
            </w14:solidFill>
          </w14:textFill>
        </w:rPr>
        <w:t>以救早、灭小和“3分钟到场”扑救初起火灾为目标，在未建专职消防队且设有消防控制室的重点单位，建立微型消防站，开展日常防火巡查和初起火灾扑救等工作。</w:t>
      </w:r>
    </w:p>
    <w:p>
      <w:pPr>
        <w:snapToGrid w:val="0"/>
        <w:spacing w:line="620" w:lineRule="exact"/>
        <w:ind w:firstLine="643" w:firstLineChars="200"/>
        <w:rPr>
          <w:color w:val="000000" w:themeColor="text1"/>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支持发展民间救援队。</w:t>
      </w:r>
      <w:r>
        <w:rPr>
          <w:rFonts w:hint="eastAsia" w:ascii="仿宋_GB2312" w:hAnsi="宋体" w:eastAsia="仿宋_GB2312" w:cs="仿宋_GB2312"/>
          <w:color w:val="000000" w:themeColor="text1"/>
          <w:sz w:val="32"/>
          <w:szCs w:val="32"/>
          <w14:textFill>
            <w14:solidFill>
              <w14:schemeClr w14:val="tx1"/>
            </w14:solidFill>
          </w14:textFill>
        </w:rPr>
        <w:t>建立完善队伍机构注册、能力测评、组织指挥、救援行动、激励措施、救援补偿等相关政策，促进队伍有序良性发展，提升救援能力。</w:t>
      </w:r>
    </w:p>
    <w:p>
      <w:pPr>
        <w:snapToGrid w:val="0"/>
        <w:spacing w:line="620" w:lineRule="exact"/>
        <w:ind w:firstLine="643"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要推动应急救援工作社会化。</w:t>
      </w:r>
      <w:r>
        <w:rPr>
          <w:rFonts w:hint="eastAsia" w:ascii="仿宋_GB2312" w:hAnsi="宋体" w:eastAsia="仿宋_GB2312" w:cs="仿宋_GB2312"/>
          <w:color w:val="000000" w:themeColor="text1"/>
          <w:sz w:val="32"/>
          <w:szCs w:val="32"/>
          <w14:textFill>
            <w14:solidFill>
              <w14:schemeClr w14:val="tx1"/>
            </w14:solidFill>
          </w14:textFill>
        </w:rPr>
        <w:t>健全完善民间救援组织登记备案、培训考核、事故现场准入等制度，积极引导壮大志愿者队伍；通过给予税收优惠政策、财政补贴等财政支持手段，鼓励企业加强应急救援装备研发与创新；主动建立科研机构、智能团队等力量开展重大课题研究攻关，为灾害风险研判、预警和应急救援指挥决策提供“智慧”支持。</w:t>
      </w:r>
    </w:p>
    <w:p>
      <w:pPr>
        <w:snapToGrid w:val="0"/>
        <w:spacing w:line="620" w:lineRule="exact"/>
        <w:ind w:firstLine="643" w:firstLineChars="200"/>
        <w:rPr>
          <w:color w:val="000000" w:themeColor="text1"/>
          <w14:textFill>
            <w14:solidFill>
              <w14:schemeClr w14:val="tx1"/>
            </w14:solidFill>
          </w14:textFill>
        </w:rPr>
      </w:pPr>
      <w:r>
        <w:rPr>
          <w:rFonts w:hint="eastAsia" w:ascii="仿宋_GB2312" w:hAnsi="宋体" w:eastAsia="仿宋_GB2312" w:cs="仿宋_GB2312"/>
          <w:b/>
          <w:bCs/>
          <w:color w:val="000000" w:themeColor="text1"/>
          <w:sz w:val="32"/>
          <w:szCs w:val="32"/>
          <w14:textFill>
            <w14:solidFill>
              <w14:schemeClr w14:val="tx1"/>
            </w14:solidFill>
          </w14:textFill>
        </w:rPr>
        <w:t>加强应急救援联动建设。</w:t>
      </w:r>
      <w:r>
        <w:rPr>
          <w:rFonts w:hint="eastAsia" w:ascii="仿宋_GB2312" w:hAnsi="宋体" w:eastAsia="仿宋_GB2312" w:cs="仿宋_GB2312"/>
          <w:color w:val="000000" w:themeColor="text1"/>
          <w:sz w:val="32"/>
          <w:szCs w:val="32"/>
          <w14:textFill>
            <w14:solidFill>
              <w14:schemeClr w14:val="tx1"/>
            </w14:solidFill>
          </w14:textFill>
        </w:rPr>
        <w:t>健全完善消防应急救援指挥体系，进一步加强市、县（区）、乡镇（街道）三级综合应急救援队伍建设。完善以各级应急办为主体，供水、供电、供气、医疗急救、工程抢险、气象等单位及社会专业救援力量有效配合的联勤联动机制，形成统一领导、协调有序、专兼并存、优势互补、保障有力的应急队伍体系修订完善各类灾害事故应急处置综合预案，建立政府牵头组织、多部门联合参与的训练机制，每年针对不同灾害事故类型开展市级的多部门联合实战演练不少于4次。</w:t>
      </w:r>
    </w:p>
    <w:p>
      <w:pPr>
        <w:pStyle w:val="4"/>
        <w:spacing w:before="0" w:after="0" w:line="600" w:lineRule="exact"/>
        <w:ind w:firstLine="643" w:firstLineChars="200"/>
        <w:rPr>
          <w:color w:val="000000" w:themeColor="text1"/>
          <w14:textFill>
            <w14:solidFill>
              <w14:schemeClr w14:val="tx1"/>
            </w14:solidFill>
          </w14:textFill>
        </w:rPr>
      </w:pPr>
      <w:bookmarkStart w:id="78" w:name="_Toc8646"/>
      <w:bookmarkStart w:id="79" w:name="_Toc23147"/>
      <w:r>
        <w:rPr>
          <w:rFonts w:hint="eastAsia"/>
          <w:color w:val="000000" w:themeColor="text1"/>
          <w14:textFill>
            <w14:solidFill>
              <w14:schemeClr w14:val="tx1"/>
            </w14:solidFill>
          </w14:textFill>
        </w:rPr>
        <w:t>（二）</w:t>
      </w:r>
      <w:bookmarkEnd w:id="78"/>
      <w:r>
        <w:rPr>
          <w:rFonts w:hint="eastAsia"/>
          <w:color w:val="000000" w:themeColor="text1"/>
          <w14:textFill>
            <w14:solidFill>
              <w14:schemeClr w14:val="tx1"/>
            </w14:solidFill>
          </w14:textFill>
        </w:rPr>
        <w:t>建立消防队伍人才培养长效机制</w:t>
      </w:r>
      <w:bookmarkEnd w:id="79"/>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加强人才培养选拔任用机制，</w:t>
      </w:r>
      <w:r>
        <w:rPr>
          <w:rFonts w:ascii="仿宋_GB2312" w:hAnsi="宋体" w:eastAsia="仿宋_GB2312" w:cs="仿宋_GB2312"/>
          <w:color w:val="000000" w:themeColor="text1"/>
          <w:sz w:val="32"/>
          <w:szCs w:val="32"/>
          <w14:textFill>
            <w14:solidFill>
              <w14:schemeClr w14:val="tx1"/>
            </w14:solidFill>
          </w14:textFill>
        </w:rPr>
        <w:t>根据队伍编制员额调整，落实干部编配标准，突出政治过硬、德才兼备的选人用人导向，</w:t>
      </w:r>
      <w:r>
        <w:rPr>
          <w:rFonts w:hint="eastAsia" w:ascii="仿宋_GB2312" w:hAnsi="宋体" w:eastAsia="仿宋_GB2312" w:cs="仿宋_GB2312"/>
          <w:color w:val="000000" w:themeColor="text1"/>
          <w:sz w:val="32"/>
          <w:szCs w:val="32"/>
          <w14:textFill>
            <w14:solidFill>
              <w14:schemeClr w14:val="tx1"/>
            </w14:solidFill>
          </w14:textFill>
        </w:rPr>
        <w:t>建成与新时代消防救援事业相适应，结构合理、素质精良、富有活力的新型高素质专业人才队伍。</w:t>
      </w:r>
      <w:r>
        <w:rPr>
          <w:rFonts w:ascii="仿宋_GB2312" w:hAnsi="宋体" w:eastAsia="仿宋_GB2312" w:cs="仿宋_GB2312"/>
          <w:color w:val="000000" w:themeColor="text1"/>
          <w:sz w:val="32"/>
          <w:szCs w:val="32"/>
          <w14:textFill>
            <w14:solidFill>
              <w14:schemeClr w14:val="tx1"/>
            </w14:solidFill>
          </w14:textFill>
        </w:rPr>
        <w:t>结合干部履职、现实表现和考核情况，适当对领导职务干部进行岗位调整，不断优化大队、站级领导干部队伍年龄和专业结构，规范开展干部晋职调级和调整配备工作，确保按需配备、人岗相适。</w:t>
      </w:r>
      <w:r>
        <w:rPr>
          <w:rFonts w:hint="eastAsia" w:ascii="仿宋_GB2312" w:hAnsi="宋体" w:eastAsia="仿宋_GB2312" w:cs="仿宋_GB2312"/>
          <w:color w:val="000000" w:themeColor="text1"/>
          <w:sz w:val="32"/>
          <w:szCs w:val="32"/>
          <w14:textFill>
            <w14:solidFill>
              <w14:schemeClr w14:val="tx1"/>
            </w14:solidFill>
          </w14:textFill>
        </w:rPr>
        <w:t>实施人才强队工程，拓宽干部培养渠道、丰富干部工作经历，建立健全干部双向交流挂职工作机制。加大消防队伍人才培养力度，积极与高校、党校、社会组织、重点企业合作，组织干部政治轮训，鼓励指战员参加在职学历教育和各类资质培训。</w:t>
      </w:r>
    </w:p>
    <w:p>
      <w:pPr>
        <w:pStyle w:val="4"/>
        <w:spacing w:before="0" w:after="0" w:line="600" w:lineRule="exact"/>
        <w:ind w:firstLine="643" w:firstLineChars="200"/>
        <w:rPr>
          <w:color w:val="000000" w:themeColor="text1"/>
          <w14:textFill>
            <w14:solidFill>
              <w14:schemeClr w14:val="tx1"/>
            </w14:solidFill>
          </w14:textFill>
        </w:rPr>
      </w:pPr>
      <w:bookmarkStart w:id="80" w:name="_Toc26613"/>
      <w:r>
        <w:rPr>
          <w:rFonts w:hint="eastAsia"/>
          <w:color w:val="000000" w:themeColor="text1"/>
          <w14:textFill>
            <w14:solidFill>
              <w14:schemeClr w14:val="tx1"/>
            </w14:solidFill>
          </w14:textFill>
        </w:rPr>
        <w:t>（三）</w:t>
      </w:r>
      <w:bookmarkStart w:id="81" w:name="_Toc71739409"/>
      <w:bookmarkStart w:id="82" w:name="_Toc17381"/>
      <w:bookmarkStart w:id="83" w:name="_Toc4625"/>
      <w:bookmarkStart w:id="84" w:name="_Toc30194"/>
      <w:r>
        <w:rPr>
          <w:rFonts w:hint="eastAsia"/>
          <w:color w:val="000000" w:themeColor="text1"/>
          <w14:textFill>
            <w14:solidFill>
              <w14:schemeClr w14:val="tx1"/>
            </w14:solidFill>
          </w14:textFill>
        </w:rPr>
        <w:t>推动消防队伍优抚优待政策</w:t>
      </w:r>
      <w:bookmarkEnd w:id="81"/>
      <w:bookmarkEnd w:id="82"/>
      <w:bookmarkEnd w:id="83"/>
      <w:bookmarkEnd w:id="84"/>
      <w:r>
        <w:rPr>
          <w:rFonts w:hint="eastAsia"/>
          <w:color w:val="000000" w:themeColor="text1"/>
          <w14:textFill>
            <w14:solidFill>
              <w14:schemeClr w14:val="tx1"/>
            </w14:solidFill>
          </w14:textFill>
        </w:rPr>
        <w:t>落实</w:t>
      </w:r>
      <w:bookmarkEnd w:id="80"/>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ascii="仿宋_GB2312" w:hAnsi="宋体" w:eastAsia="仿宋_GB2312" w:cs="仿宋_GB2312"/>
          <w:color w:val="000000" w:themeColor="text1"/>
          <w:sz w:val="32"/>
          <w:szCs w:val="32"/>
          <w14:textFill>
            <w14:solidFill>
              <w14:schemeClr w14:val="tx1"/>
            </w14:solidFill>
          </w14:textFill>
        </w:rPr>
        <w:t>紧紧围绕有效提升队伍职业荣誉感，从</w:t>
      </w:r>
      <w:r>
        <w:rPr>
          <w:rFonts w:hint="eastAsia" w:ascii="仿宋_GB2312" w:hAnsi="宋体" w:eastAsia="仿宋_GB2312" w:cs="仿宋_GB2312"/>
          <w:color w:val="000000" w:themeColor="text1"/>
          <w:sz w:val="32"/>
          <w:szCs w:val="32"/>
          <w14:textFill>
            <w14:solidFill>
              <w14:schemeClr w14:val="tx1"/>
            </w14:solidFill>
          </w14:textFill>
        </w:rPr>
        <w:t>全局</w:t>
      </w:r>
      <w:r>
        <w:rPr>
          <w:rFonts w:ascii="仿宋_GB2312" w:hAnsi="宋体" w:eastAsia="仿宋_GB2312" w:cs="仿宋_GB2312"/>
          <w:color w:val="000000" w:themeColor="text1"/>
          <w:sz w:val="32"/>
          <w:szCs w:val="32"/>
          <w14:textFill>
            <w14:solidFill>
              <w14:schemeClr w14:val="tx1"/>
            </w14:solidFill>
          </w14:textFill>
        </w:rPr>
        <w:t>出发</w:t>
      </w:r>
      <w:r>
        <w:rPr>
          <w:rFonts w:hint="eastAsia" w:ascii="仿宋_GB2312" w:hAnsi="宋体" w:eastAsia="仿宋_GB2312" w:cs="仿宋_GB2312"/>
          <w:color w:val="000000" w:themeColor="text1"/>
          <w:sz w:val="32"/>
          <w:szCs w:val="32"/>
          <w14:textFill>
            <w14:solidFill>
              <w14:schemeClr w14:val="tx1"/>
            </w14:solidFill>
          </w14:textFill>
        </w:rPr>
        <w:t>，</w:t>
      </w:r>
      <w:r>
        <w:rPr>
          <w:rFonts w:ascii="仿宋_GB2312" w:hAnsi="宋体" w:eastAsia="仿宋_GB2312" w:cs="仿宋_GB2312"/>
          <w:color w:val="000000" w:themeColor="text1"/>
          <w:sz w:val="32"/>
          <w:szCs w:val="32"/>
          <w14:textFill>
            <w14:solidFill>
              <w14:schemeClr w14:val="tx1"/>
            </w14:solidFill>
          </w14:textFill>
        </w:rPr>
        <w:t>构建内容涵盖全、政策融合好、保障措施严的优抚优待体系</w:t>
      </w:r>
      <w:r>
        <w:rPr>
          <w:rFonts w:hint="eastAsia" w:ascii="仿宋_GB2312" w:hAnsi="宋体" w:eastAsia="仿宋_GB2312" w:cs="仿宋_GB2312"/>
          <w:color w:val="000000" w:themeColor="text1"/>
          <w:sz w:val="32"/>
          <w:szCs w:val="32"/>
          <w14:textFill>
            <w14:solidFill>
              <w14:schemeClr w14:val="tx1"/>
            </w14:solidFill>
          </w14:textFill>
        </w:rPr>
        <w:t>。积极推动《银川市人民政府办公室关于建立全市消防救援队伍职业保障机制的意见》落实落地，</w:t>
      </w:r>
      <w:r>
        <w:rPr>
          <w:rFonts w:ascii="仿宋_GB2312" w:hAnsi="宋体" w:eastAsia="仿宋_GB2312" w:cs="仿宋_GB2312"/>
          <w:color w:val="000000" w:themeColor="text1"/>
          <w:sz w:val="32"/>
          <w:szCs w:val="32"/>
          <w14:textFill>
            <w14:solidFill>
              <w14:schemeClr w14:val="tx1"/>
            </w14:solidFill>
          </w14:textFill>
        </w:rPr>
        <w:t>深入宣贯消防救援人员职业保障制度，</w:t>
      </w:r>
      <w:r>
        <w:rPr>
          <w:rFonts w:hint="eastAsia" w:ascii="仿宋_GB2312" w:hAnsi="宋体" w:eastAsia="仿宋_GB2312" w:cs="仿宋_GB2312"/>
          <w:color w:val="000000" w:themeColor="text1"/>
          <w:sz w:val="32"/>
          <w:szCs w:val="32"/>
          <w14:textFill>
            <w14:solidFill>
              <w14:schemeClr w14:val="tx1"/>
            </w14:solidFill>
          </w14:textFill>
        </w:rPr>
        <w:t>切实保障消防救援人员在教育优待、医疗待遇、交通出行、</w:t>
      </w:r>
      <w:r>
        <w:rPr>
          <w:rFonts w:ascii="仿宋_GB2312" w:hAnsi="宋体" w:eastAsia="仿宋_GB2312" w:cs="仿宋_GB2312"/>
          <w:color w:val="000000" w:themeColor="text1"/>
          <w:sz w:val="32"/>
          <w:szCs w:val="32"/>
          <w14:textFill>
            <w14:solidFill>
              <w14:schemeClr w14:val="tx1"/>
            </w14:solidFill>
          </w14:textFill>
        </w:rPr>
        <w:t>住房保障、</w:t>
      </w:r>
      <w:r>
        <w:rPr>
          <w:rFonts w:hint="eastAsia" w:ascii="仿宋_GB2312" w:hAnsi="宋体" w:eastAsia="仿宋_GB2312" w:cs="仿宋_GB2312"/>
          <w:color w:val="000000" w:themeColor="text1"/>
          <w:sz w:val="32"/>
          <w:szCs w:val="32"/>
          <w14:textFill>
            <w14:solidFill>
              <w14:schemeClr w14:val="tx1"/>
            </w14:solidFill>
          </w14:textFill>
        </w:rPr>
        <w:t>参观游览等方面的优先优待权益，逐步</w:t>
      </w:r>
      <w:r>
        <w:rPr>
          <w:rFonts w:ascii="仿宋_GB2312" w:hAnsi="宋体" w:eastAsia="仿宋_GB2312" w:cs="仿宋_GB2312"/>
          <w:color w:val="000000" w:themeColor="text1"/>
          <w:sz w:val="32"/>
          <w:szCs w:val="32"/>
          <w14:textFill>
            <w14:solidFill>
              <w14:schemeClr w14:val="tx1"/>
            </w14:solidFill>
          </w14:textFill>
        </w:rPr>
        <w:t>明确优先享受窗口服务、免费乘坐市内公交、</w:t>
      </w:r>
      <w:r>
        <w:rPr>
          <w:rFonts w:hint="eastAsia" w:ascii="仿宋_GB2312" w:hAnsi="宋体" w:eastAsia="仿宋_GB2312" w:cs="仿宋_GB2312"/>
          <w:color w:val="000000" w:themeColor="text1"/>
          <w:sz w:val="32"/>
          <w:szCs w:val="32"/>
          <w14:textFill>
            <w14:solidFill>
              <w14:schemeClr w14:val="tx1"/>
            </w14:solidFill>
          </w14:textFill>
        </w:rPr>
        <w:t>指战员子女入学入托、中考加分等</w:t>
      </w:r>
      <w:r>
        <w:rPr>
          <w:rFonts w:ascii="仿宋_GB2312" w:hAnsi="宋体" w:eastAsia="仿宋_GB2312" w:cs="仿宋_GB2312"/>
          <w:color w:val="000000" w:themeColor="text1"/>
          <w:sz w:val="32"/>
          <w:szCs w:val="32"/>
          <w14:textFill>
            <w14:solidFill>
              <w14:schemeClr w14:val="tx1"/>
            </w14:solidFill>
          </w14:textFill>
        </w:rPr>
        <w:t>具体措施</w:t>
      </w:r>
      <w:r>
        <w:rPr>
          <w:rFonts w:hint="eastAsia" w:ascii="仿宋_GB2312" w:hAnsi="宋体" w:eastAsia="仿宋_GB2312" w:cs="仿宋_GB2312"/>
          <w:color w:val="000000" w:themeColor="text1"/>
          <w:sz w:val="32"/>
          <w:szCs w:val="32"/>
          <w14:textFill>
            <w14:solidFill>
              <w14:schemeClr w14:val="tx1"/>
            </w14:solidFill>
          </w14:textFill>
        </w:rPr>
        <w:t>。</w:t>
      </w:r>
    </w:p>
    <w:p>
      <w:pPr>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br w:type="page"/>
      </w:r>
    </w:p>
    <w:p>
      <w:pPr>
        <w:pStyle w:val="2"/>
        <w:rPr>
          <w:color w:val="000000" w:themeColor="text1"/>
          <w14:textFill>
            <w14:solidFill>
              <w14:schemeClr w14:val="tx1"/>
            </w14:solidFill>
          </w14:textFill>
        </w:rPr>
      </w:pPr>
    </w:p>
    <w:p>
      <w:pPr>
        <w:pStyle w:val="3"/>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bookmarkStart w:id="85" w:name="_Toc49074244"/>
      <w:bookmarkStart w:id="86" w:name="_Toc28166"/>
      <w:r>
        <w:rPr>
          <w:rFonts w:hint="eastAsia" w:ascii="方正小标宋_GBK" w:hAnsi="Calibri" w:eastAsia="方正小标宋_GBK"/>
          <w:b w:val="0"/>
          <w:color w:val="000000" w:themeColor="text1"/>
          <w:sz w:val="36"/>
          <w:szCs w:val="36"/>
          <w14:textFill>
            <w14:solidFill>
              <w14:schemeClr w14:val="tx1"/>
            </w14:solidFill>
          </w14:textFill>
        </w:rPr>
        <w:t>第九章   实施一批</w:t>
      </w:r>
      <w:bookmarkEnd w:id="85"/>
      <w:r>
        <w:rPr>
          <w:rFonts w:hint="eastAsia" w:ascii="方正小标宋_GBK" w:hAnsi="Calibri" w:eastAsia="方正小标宋_GBK"/>
          <w:b w:val="0"/>
          <w:color w:val="000000" w:themeColor="text1"/>
          <w:sz w:val="36"/>
          <w:szCs w:val="36"/>
          <w14:textFill>
            <w14:solidFill>
              <w14:schemeClr w14:val="tx1"/>
            </w14:solidFill>
          </w14:textFill>
        </w:rPr>
        <w:t>重点工程，进一步筑牢消防救援事业发展根基</w:t>
      </w:r>
      <w:bookmarkEnd w:id="86"/>
    </w:p>
    <w:p>
      <w:pPr>
        <w:pStyle w:val="4"/>
        <w:rPr>
          <w:color w:val="000000" w:themeColor="text1"/>
          <w14:textFill>
            <w14:solidFill>
              <w14:schemeClr w14:val="tx1"/>
            </w14:solidFill>
          </w14:textFill>
        </w:rPr>
      </w:pPr>
      <w:bookmarkStart w:id="87" w:name="_Toc6024"/>
      <w:bookmarkStart w:id="88" w:name="_Toc2035"/>
      <w:bookmarkStart w:id="89" w:name="_Toc5102"/>
      <w:bookmarkStart w:id="90" w:name="_Toc3887"/>
      <w:bookmarkStart w:id="91" w:name="_Toc21411"/>
      <w:bookmarkStart w:id="92" w:name="_Toc72607743"/>
      <w:bookmarkStart w:id="93" w:name="_Toc7266"/>
      <w:bookmarkStart w:id="94" w:name="_Toc25786"/>
      <w:bookmarkStart w:id="95" w:name="_Toc9558"/>
      <w:bookmarkStart w:id="96" w:name="_Toc11575"/>
      <w:r>
        <w:rPr>
          <w:rFonts w:hint="eastAsia"/>
          <w:color w:val="000000" w:themeColor="text1"/>
          <w14:textFill>
            <w14:solidFill>
              <w14:schemeClr w14:val="tx1"/>
            </w14:solidFill>
          </w14:textFill>
        </w:rPr>
        <w:t>（一）社会消防安全治理工程</w:t>
      </w:r>
      <w:bookmarkEnd w:id="87"/>
      <w:bookmarkEnd w:id="88"/>
      <w:bookmarkEnd w:id="89"/>
      <w:bookmarkEnd w:id="90"/>
      <w:bookmarkEnd w:id="91"/>
      <w:bookmarkEnd w:id="92"/>
      <w:bookmarkEnd w:id="93"/>
      <w:bookmarkEnd w:id="94"/>
      <w:bookmarkEnd w:id="95"/>
      <w:bookmarkEnd w:id="96"/>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深入开展各类消防安全专项治理，大力推动行业消防安全标准化管理标杆建设、单位和社区消防安全能力提升行动，打造消防安全标准化管理示范单位和行业消防安全标准化管理示范标杆。</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99"/>
        <w:gridCol w:w="781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5000" w:type="pct"/>
            <w:gridSpan w:val="2"/>
            <w:tcBorders>
              <w:top w:val="single" w:color="auto" w:sz="8" w:space="0"/>
              <w:left w:val="single" w:color="auto" w:sz="8" w:space="0"/>
              <w:bottom w:val="single" w:color="auto" w:sz="6" w:space="0"/>
              <w:right w:val="single" w:color="auto" w:sz="8" w:space="0"/>
            </w:tcBorders>
            <w:noWrap/>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bookmarkStart w:id="97" w:name="_Toc8960"/>
            <w:bookmarkStart w:id="98" w:name="_Toc10926"/>
            <w:bookmarkStart w:id="99" w:name="_Toc72607744"/>
            <w:bookmarkStart w:id="100" w:name="_Toc1321"/>
            <w:bookmarkStart w:id="101" w:name="_Toc13514"/>
            <w:bookmarkStart w:id="102" w:name="_Toc17262"/>
            <w:bookmarkStart w:id="103" w:name="_Toc72572910"/>
            <w:bookmarkStart w:id="104" w:name="_Toc24399"/>
            <w:bookmarkStart w:id="105" w:name="_Toc24006"/>
            <w:r>
              <w:rPr>
                <w:rFonts w:hint="eastAsia" w:asciiTheme="minorEastAsia" w:hAnsiTheme="minorEastAsia" w:cstheme="minorEastAsia"/>
                <w:color w:val="000000" w:themeColor="text1"/>
                <w:sz w:val="28"/>
                <w:szCs w:val="28"/>
                <w14:textFill>
                  <w14:solidFill>
                    <w14:schemeClr w14:val="tx1"/>
                  </w14:solidFill>
                </w14:textFill>
              </w:rPr>
              <w:t>专栏2：社会消防安全治理工程任务清单</w:t>
            </w:r>
            <w:bookmarkEnd w:id="97"/>
            <w:bookmarkEnd w:id="98"/>
            <w:bookmarkEnd w:id="99"/>
            <w:bookmarkEnd w:id="100"/>
            <w:bookmarkEnd w:id="101"/>
            <w:bookmarkEnd w:id="102"/>
            <w:bookmarkEnd w:id="103"/>
            <w:bookmarkEnd w:id="104"/>
            <w:bookmarkEnd w:id="105"/>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514" w:hRule="atLeast"/>
          <w:jc w:val="center"/>
        </w:trPr>
        <w:tc>
          <w:tcPr>
            <w:tcW w:w="1079" w:type="pct"/>
            <w:tcBorders>
              <w:top w:val="single" w:color="auto" w:sz="6" w:space="0"/>
              <w:left w:val="single" w:color="auto" w:sz="8" w:space="0"/>
              <w:bottom w:val="single" w:color="auto" w:sz="6" w:space="0"/>
              <w:right w:val="single" w:color="auto" w:sz="6" w:space="0"/>
            </w:tcBorders>
            <w:noWrap/>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高层建筑消防安全综合整治</w:t>
            </w:r>
          </w:p>
        </w:tc>
        <w:tc>
          <w:tcPr>
            <w:tcW w:w="3920" w:type="pct"/>
            <w:tcBorders>
              <w:top w:val="single" w:color="auto" w:sz="6" w:space="0"/>
              <w:left w:val="single" w:color="auto" w:sz="6" w:space="0"/>
              <w:bottom w:val="single" w:color="auto" w:sz="6" w:space="0"/>
              <w:right w:val="single" w:color="auto" w:sz="8" w:space="0"/>
            </w:tcBorders>
            <w:noWrap/>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全面排查建立问题隐患清单和整改责任清单，重点督办整改突出问题。2021年，突出问题得到有效整改，建立完善管理机制；2025年，全面优化提升消防安全能力水平。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535" w:hRule="atLeast"/>
          <w:jc w:val="center"/>
        </w:trPr>
        <w:tc>
          <w:tcPr>
            <w:tcW w:w="1079" w:type="pct"/>
            <w:tcBorders>
              <w:top w:val="single" w:color="auto" w:sz="6" w:space="0"/>
              <w:left w:val="single" w:color="auto" w:sz="8" w:space="0"/>
              <w:bottom w:val="single" w:color="auto" w:sz="6" w:space="0"/>
              <w:right w:val="single" w:color="auto" w:sz="6" w:space="0"/>
            </w:tcBorders>
            <w:noWrap/>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大型商业综合体消防管理水平提升</w:t>
            </w:r>
          </w:p>
        </w:tc>
        <w:tc>
          <w:tcPr>
            <w:tcW w:w="3920" w:type="pct"/>
            <w:tcBorders>
              <w:top w:val="single" w:color="auto" w:sz="6" w:space="0"/>
              <w:left w:val="single" w:color="auto" w:sz="6" w:space="0"/>
              <w:bottom w:val="single" w:color="auto" w:sz="6" w:space="0"/>
              <w:right w:val="single" w:color="auto" w:sz="8" w:space="0"/>
            </w:tcBorders>
            <w:noWrap/>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建立消防安全管理责任清单和全员消防培训制度。2021年，专家示范检查发现问题全部整改完毕，消防安全管理标准化达标率达到90%，2022年达标率实现100%。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079" w:type="pct"/>
            <w:tcBorders>
              <w:top w:val="single" w:color="auto" w:sz="6" w:space="0"/>
              <w:left w:val="single" w:color="auto" w:sz="8" w:space="0"/>
              <w:bottom w:val="single" w:color="auto" w:sz="6" w:space="0"/>
              <w:right w:val="single" w:color="auto" w:sz="6" w:space="0"/>
            </w:tcBorders>
            <w:noWrap/>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石化企业消防安全能力提升</w:t>
            </w:r>
          </w:p>
        </w:tc>
        <w:tc>
          <w:tcPr>
            <w:tcW w:w="3920" w:type="pct"/>
            <w:tcBorders>
              <w:top w:val="single" w:color="auto" w:sz="6" w:space="0"/>
              <w:left w:val="single" w:color="auto" w:sz="6" w:space="0"/>
              <w:bottom w:val="single" w:color="auto" w:sz="6" w:space="0"/>
              <w:right w:val="single" w:color="auto" w:sz="8" w:space="0"/>
            </w:tcBorders>
            <w:noWrap/>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立以风险特征为指引的消防安全风险评估机制，完成重大消防安全风险管控、老旧设施改造和企业消防力量建设3项任务，建立完善企业专（兼）职消防队和工艺处置队。2022年试点开展标准化示范创建，2025年基本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079" w:type="pct"/>
            <w:tcBorders>
              <w:top w:val="single" w:color="auto" w:sz="6" w:space="0"/>
              <w:left w:val="single" w:color="auto" w:sz="8" w:space="0"/>
              <w:bottom w:val="single" w:color="auto" w:sz="6" w:space="0"/>
              <w:right w:val="single" w:color="auto" w:sz="6" w:space="0"/>
            </w:tcBorders>
            <w:noWrap/>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地下人员密集场所建筑救援能力提升</w:t>
            </w:r>
          </w:p>
        </w:tc>
        <w:tc>
          <w:tcPr>
            <w:tcW w:w="3920" w:type="pct"/>
            <w:tcBorders>
              <w:top w:val="single" w:color="auto" w:sz="6" w:space="0"/>
              <w:left w:val="single" w:color="auto" w:sz="6" w:space="0"/>
              <w:bottom w:val="single" w:color="auto" w:sz="6" w:space="0"/>
              <w:right w:val="single" w:color="auto" w:sz="8" w:space="0"/>
            </w:tcBorders>
            <w:noWrap/>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综合客流高峰、建筑结构、疏散路线、通风照明条件、电气设备以及周边消防救援力量、装备器材等关键要素，开展安全疏散及应急救援能力综合演练，完成率达100%。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17" w:hRule="atLeast"/>
          <w:jc w:val="center"/>
        </w:trPr>
        <w:tc>
          <w:tcPr>
            <w:tcW w:w="1079" w:type="pct"/>
            <w:tcBorders>
              <w:top w:val="single" w:color="auto" w:sz="6" w:space="0"/>
              <w:left w:val="single" w:color="auto" w:sz="8" w:space="0"/>
              <w:bottom w:val="single" w:color="auto" w:sz="6" w:space="0"/>
              <w:right w:val="single" w:color="auto" w:sz="6" w:space="0"/>
            </w:tcBorders>
            <w:noWrap/>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农村火灾防控提升</w:t>
            </w:r>
          </w:p>
        </w:tc>
        <w:tc>
          <w:tcPr>
            <w:tcW w:w="3920" w:type="pct"/>
            <w:tcBorders>
              <w:top w:val="single" w:color="auto" w:sz="6" w:space="0"/>
              <w:left w:val="single" w:color="auto" w:sz="6" w:space="0"/>
              <w:bottom w:val="single" w:color="auto" w:sz="6" w:space="0"/>
              <w:right w:val="single" w:color="auto" w:sz="8" w:space="0"/>
            </w:tcBorders>
            <w:noWrap/>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2021年，各级将乡村消防工作纳入乡村振兴工作统筹研究部署。2022年，乡村消防安全条件明显改善，2025年，乡村公共消防设施得到进一步夯实。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68" w:hRule="atLeast"/>
          <w:jc w:val="center"/>
        </w:trPr>
        <w:tc>
          <w:tcPr>
            <w:tcW w:w="1079" w:type="pct"/>
            <w:tcBorders>
              <w:top w:val="single" w:color="auto" w:sz="6" w:space="0"/>
              <w:left w:val="single" w:color="auto" w:sz="8" w:space="0"/>
              <w:bottom w:val="single" w:color="auto" w:sz="6" w:space="0"/>
              <w:right w:val="single" w:color="auto" w:sz="6" w:space="0"/>
            </w:tcBorders>
            <w:noWrap/>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打通消防生命通道</w:t>
            </w:r>
          </w:p>
        </w:tc>
        <w:tc>
          <w:tcPr>
            <w:tcW w:w="3920" w:type="pct"/>
            <w:tcBorders>
              <w:top w:val="single" w:color="auto" w:sz="6" w:space="0"/>
              <w:left w:val="single" w:color="auto" w:sz="6" w:space="0"/>
              <w:bottom w:val="single" w:color="auto" w:sz="6" w:space="0"/>
              <w:right w:val="single" w:color="auto" w:sz="8" w:space="0"/>
            </w:tcBorders>
            <w:noWrap/>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老旧小区实施“一城一策、一区一策”消防车通道治理、加强城市停车设施规划建设、优化停车资源管理使用、定期与公安交管部门开展联合执法检查。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03" w:hRule="atLeast"/>
          <w:jc w:val="center"/>
        </w:trPr>
        <w:tc>
          <w:tcPr>
            <w:tcW w:w="1079" w:type="pct"/>
            <w:tcBorders>
              <w:top w:val="single" w:color="auto" w:sz="6" w:space="0"/>
              <w:left w:val="single" w:color="auto" w:sz="8" w:space="0"/>
              <w:bottom w:val="single" w:color="auto" w:sz="6" w:space="0"/>
              <w:right w:val="single" w:color="auto" w:sz="6" w:space="0"/>
            </w:tcBorders>
            <w:noWrap/>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老旧场所火灾隐患整治</w:t>
            </w:r>
          </w:p>
        </w:tc>
        <w:tc>
          <w:tcPr>
            <w:tcW w:w="3920" w:type="pct"/>
            <w:tcBorders>
              <w:top w:val="single" w:color="auto" w:sz="6" w:space="0"/>
              <w:left w:val="single" w:color="auto" w:sz="6" w:space="0"/>
              <w:bottom w:val="single" w:color="auto" w:sz="6" w:space="0"/>
              <w:right w:val="single" w:color="auto" w:sz="8" w:space="0"/>
            </w:tcBorders>
            <w:noWrap/>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结合新型城镇化建设、老旧小区和棚户区改造，集中整治老旧小区、家庭生产加工作坊、“三合一”场所等突出风险，每年将老旧场所消防风险治理列入民生实事工程。2022年，老旧场所基本落实火灾风险差异化防控措施。2025年老旧场所消防安全环境得到有效提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89" w:hRule="atLeast"/>
          <w:jc w:val="center"/>
        </w:trPr>
        <w:tc>
          <w:tcPr>
            <w:tcW w:w="1079" w:type="pct"/>
            <w:tcBorders>
              <w:top w:val="single" w:color="auto" w:sz="6" w:space="0"/>
              <w:left w:val="single" w:color="auto" w:sz="8" w:space="0"/>
              <w:bottom w:val="single" w:color="auto" w:sz="6" w:space="0"/>
              <w:right w:val="single" w:color="auto" w:sz="6" w:space="0"/>
            </w:tcBorders>
            <w:noWrap/>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电动自行车隐患整治</w:t>
            </w:r>
          </w:p>
        </w:tc>
        <w:tc>
          <w:tcPr>
            <w:tcW w:w="3920" w:type="pct"/>
            <w:tcBorders>
              <w:top w:val="single" w:color="auto" w:sz="6" w:space="0"/>
              <w:left w:val="single" w:color="auto" w:sz="6" w:space="0"/>
              <w:bottom w:val="single" w:color="auto" w:sz="6" w:space="0"/>
              <w:right w:val="single" w:color="auto" w:sz="8" w:space="0"/>
            </w:tcBorders>
            <w:noWrap/>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加强电动自行车生产、销售、使用领域综合治理，在社区、居民住宅区、城中村等设置电动自行车集中充电、停放场所，2022年，居民住宅区全部落实电动车集中管理措施。</w:t>
            </w:r>
          </w:p>
        </w:tc>
      </w:tr>
    </w:tbl>
    <w:p>
      <w:pPr>
        <w:pStyle w:val="4"/>
        <w:rPr>
          <w:color w:val="000000" w:themeColor="text1"/>
          <w14:textFill>
            <w14:solidFill>
              <w14:schemeClr w14:val="tx1"/>
            </w14:solidFill>
          </w14:textFill>
        </w:rPr>
      </w:pPr>
      <w:bookmarkStart w:id="106" w:name="_Toc22031"/>
      <w:bookmarkStart w:id="107" w:name="_Toc24949"/>
      <w:bookmarkStart w:id="108" w:name="_Toc19773"/>
      <w:bookmarkStart w:id="109" w:name="_Toc28021"/>
      <w:bookmarkStart w:id="110" w:name="_Toc23530"/>
      <w:bookmarkStart w:id="111" w:name="_Toc20545"/>
      <w:bookmarkStart w:id="112" w:name="_Toc19776"/>
      <w:bookmarkStart w:id="113" w:name="_Toc72607745"/>
      <w:bookmarkStart w:id="114" w:name="_Toc938"/>
      <w:bookmarkStart w:id="115" w:name="_Toc16861"/>
      <w:r>
        <w:rPr>
          <w:rFonts w:hint="eastAsia"/>
          <w:color w:val="000000" w:themeColor="text1"/>
          <w14:textFill>
            <w14:solidFill>
              <w14:schemeClr w14:val="tx1"/>
            </w14:solidFill>
          </w14:textFill>
        </w:rPr>
        <w:t>（二）公众消防素养提升工程</w:t>
      </w:r>
      <w:bookmarkEnd w:id="106"/>
      <w:bookmarkEnd w:id="107"/>
      <w:bookmarkEnd w:id="108"/>
      <w:bookmarkEnd w:id="109"/>
      <w:bookmarkEnd w:id="110"/>
      <w:bookmarkEnd w:id="111"/>
      <w:bookmarkEnd w:id="112"/>
      <w:bookmarkEnd w:id="113"/>
      <w:bookmarkEnd w:id="114"/>
      <w:bookmarkEnd w:id="115"/>
    </w:p>
    <w:p>
      <w:pPr>
        <w:snapToGrid w:val="0"/>
        <w:spacing w:line="620" w:lineRule="exact"/>
        <w:ind w:firstLine="640" w:firstLineChars="200"/>
        <w:rPr>
          <w:color w:val="000000" w:themeColor="text1"/>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大力开展消防教育培训，加大对学校、养老机构、残障人服务机构、农村留守人员、进城务工人员等特殊群体的培训力度，提升培训针对性和实效性。</w:t>
      </w:r>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exact"/>
          <w:jc w:val="center"/>
        </w:trPr>
        <w:tc>
          <w:tcPr>
            <w:tcW w:w="5000"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专栏3：公众消防素养提升工程任务清单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exact"/>
          <w:jc w:val="center"/>
        </w:trPr>
        <w:tc>
          <w:tcPr>
            <w:tcW w:w="5000"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2021至2025年，每年对消防安全责任人、管理人和社区民警、村居委工作人员实现全覆盖培训。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exact"/>
          <w:jc w:val="center"/>
        </w:trPr>
        <w:tc>
          <w:tcPr>
            <w:tcW w:w="5000"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2021至2025年，每年对网格员、安保人员、重点单位员工、小企业主等重点人群实现全覆盖培训。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8" w:hRule="exact"/>
          <w:jc w:val="center"/>
        </w:trPr>
        <w:tc>
          <w:tcPr>
            <w:tcW w:w="5000"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2021至2025年，全面落实企业单位建立常态化全员消防培训制度，落实入职必训、转岗轮训等要求。</w:t>
            </w:r>
          </w:p>
        </w:tc>
      </w:tr>
    </w:tbl>
    <w:p>
      <w:pPr>
        <w:pStyle w:val="4"/>
        <w:rPr>
          <w:color w:val="000000" w:themeColor="text1"/>
          <w14:textFill>
            <w14:solidFill>
              <w14:schemeClr w14:val="tx1"/>
            </w14:solidFill>
          </w14:textFill>
        </w:rPr>
      </w:pPr>
      <w:bookmarkStart w:id="116" w:name="_Toc15824"/>
      <w:bookmarkStart w:id="117" w:name="_Toc7081"/>
      <w:bookmarkStart w:id="118" w:name="_Toc14423"/>
      <w:bookmarkStart w:id="119" w:name="_Toc72607746"/>
      <w:bookmarkStart w:id="120" w:name="_Toc3773"/>
      <w:bookmarkStart w:id="121" w:name="_Toc13913"/>
      <w:bookmarkStart w:id="122" w:name="_Toc23409"/>
      <w:bookmarkStart w:id="123" w:name="_Toc17641"/>
      <w:bookmarkStart w:id="124" w:name="_Toc17268"/>
      <w:bookmarkStart w:id="125" w:name="_Toc32443"/>
      <w:r>
        <w:rPr>
          <w:rFonts w:hint="eastAsia"/>
          <w:color w:val="000000" w:themeColor="text1"/>
          <w14:textFill>
            <w14:solidFill>
              <w14:schemeClr w14:val="tx1"/>
            </w14:solidFill>
          </w14:textFill>
        </w:rPr>
        <w:t>（三）消防宣传体验基地建设工程</w:t>
      </w:r>
      <w:bookmarkEnd w:id="116"/>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积极推行消防知识全民教育计划，深入推进消防宣传进乡村“三九”工程建设，积极争取政府政策支持，探索构建联动机制。</w:t>
      </w:r>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92"/>
        <w:gridCol w:w="3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exact"/>
          <w:jc w:val="center"/>
        </w:trPr>
        <w:tc>
          <w:tcPr>
            <w:tcW w:w="5000" w:type="pct"/>
            <w:gridSpan w:val="2"/>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专栏4：消防宣传体验基地建设工程任务清单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exact"/>
          <w:jc w:val="center"/>
        </w:trPr>
        <w:tc>
          <w:tcPr>
            <w:tcW w:w="3287"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建设内容</w:t>
            </w:r>
          </w:p>
        </w:tc>
        <w:tc>
          <w:tcPr>
            <w:tcW w:w="1712"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资金来源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5" w:hRule="exact"/>
          <w:jc w:val="center"/>
        </w:trPr>
        <w:tc>
          <w:tcPr>
            <w:tcW w:w="3287"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规划在西夏镇北堡镇镇北堡村、永宁县闽宁镇原隆村、贺兰县常信乡四十里店村和灵武市崇兴镇崇兴村各建成1座应急消防科普教育基地，各组建1支乡村志愿消防服务队并运作。</w:t>
            </w:r>
          </w:p>
        </w:tc>
        <w:tc>
          <w:tcPr>
            <w:tcW w:w="1712"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市、县（市）财政</w:t>
            </w:r>
          </w:p>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p>
        </w:tc>
      </w:tr>
    </w:tbl>
    <w:p>
      <w:pPr>
        <w:pStyle w:val="4"/>
        <w:rPr>
          <w:color w:val="000000" w:themeColor="text1"/>
          <w14:textFill>
            <w14:solidFill>
              <w14:schemeClr w14:val="tx1"/>
            </w14:solidFill>
          </w14:textFill>
        </w:rPr>
      </w:pPr>
      <w:bookmarkStart w:id="126" w:name="_Toc32168"/>
      <w:r>
        <w:rPr>
          <w:rFonts w:hint="eastAsia"/>
          <w:color w:val="000000" w:themeColor="text1"/>
          <w14:textFill>
            <w14:solidFill>
              <w14:schemeClr w14:val="tx1"/>
            </w14:solidFill>
          </w14:textFill>
        </w:rPr>
        <w:t>（四）消防规划编制</w:t>
      </w:r>
      <w:bookmarkEnd w:id="126"/>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结合各个市县的国土空间规划及时编制修订消防规划，科学规划消防安全布局，纳入当地社会经济发展总体规划同步实施。</w:t>
      </w:r>
    </w:p>
    <w:tbl>
      <w:tblPr>
        <w:tblStyle w:val="15"/>
        <w:tblW w:w="5000" w:type="pct"/>
        <w:tblInd w:w="0" w:type="dxa"/>
        <w:tblLayout w:type="fixed"/>
        <w:tblCellMar>
          <w:top w:w="0" w:type="dxa"/>
          <w:left w:w="0" w:type="dxa"/>
          <w:bottom w:w="0" w:type="dxa"/>
          <w:right w:w="0" w:type="dxa"/>
        </w:tblCellMar>
      </w:tblPr>
      <w:tblGrid>
        <w:gridCol w:w="723"/>
        <w:gridCol w:w="5434"/>
        <w:gridCol w:w="2774"/>
      </w:tblGrid>
      <w:tr>
        <w:tblPrEx>
          <w:tblCellMar>
            <w:top w:w="0" w:type="dxa"/>
            <w:left w:w="0" w:type="dxa"/>
            <w:bottom w:w="0" w:type="dxa"/>
            <w:right w:w="0"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专栏5：消防规划编制任务清单</w:t>
            </w:r>
          </w:p>
        </w:tc>
      </w:tr>
      <w:tr>
        <w:tblPrEx>
          <w:tblCellMar>
            <w:top w:w="0" w:type="dxa"/>
            <w:left w:w="0" w:type="dxa"/>
            <w:bottom w:w="0" w:type="dxa"/>
            <w:right w:w="0" w:type="dxa"/>
          </w:tblCellMar>
        </w:tblPrEx>
        <w:trPr>
          <w:trHeight w:val="285" w:hRule="atLeast"/>
        </w:trPr>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年份</w:t>
            </w:r>
          </w:p>
        </w:tc>
        <w:tc>
          <w:tcPr>
            <w:tcW w:w="30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任务分类</w:t>
            </w:r>
          </w:p>
        </w:tc>
        <w:tc>
          <w:tcPr>
            <w:tcW w:w="1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资金来源</w:t>
            </w:r>
          </w:p>
        </w:tc>
      </w:tr>
      <w:tr>
        <w:tblPrEx>
          <w:tblCellMar>
            <w:top w:w="0" w:type="dxa"/>
            <w:left w:w="0" w:type="dxa"/>
            <w:bottom w:w="0" w:type="dxa"/>
            <w:right w:w="0" w:type="dxa"/>
          </w:tblCellMar>
        </w:tblPrEx>
        <w:trPr>
          <w:trHeight w:val="285" w:hRule="atLeast"/>
        </w:trPr>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2021</w:t>
            </w:r>
          </w:p>
        </w:tc>
        <w:tc>
          <w:tcPr>
            <w:tcW w:w="30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银川市、永宁县、贺兰县和灵武市地完成消防规划的制订和修编</w:t>
            </w:r>
          </w:p>
        </w:tc>
        <w:tc>
          <w:tcPr>
            <w:tcW w:w="1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市、县（市）人民政府</w:t>
            </w:r>
          </w:p>
        </w:tc>
      </w:tr>
      <w:tr>
        <w:tblPrEx>
          <w:tblCellMar>
            <w:top w:w="0" w:type="dxa"/>
            <w:left w:w="0" w:type="dxa"/>
            <w:bottom w:w="0" w:type="dxa"/>
            <w:right w:w="0" w:type="dxa"/>
          </w:tblCellMar>
        </w:tblPrEx>
        <w:trPr>
          <w:trHeight w:val="285" w:hRule="atLeast"/>
        </w:trPr>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2022</w:t>
            </w:r>
          </w:p>
        </w:tc>
        <w:tc>
          <w:tcPr>
            <w:tcW w:w="30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重点城镇、有条件的建制镇完成编制消防规划的制订和修编工作</w:t>
            </w:r>
          </w:p>
        </w:tc>
        <w:tc>
          <w:tcPr>
            <w:tcW w:w="1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市、县（市）人民政府</w:t>
            </w:r>
          </w:p>
        </w:tc>
      </w:tr>
      <w:tr>
        <w:tblPrEx>
          <w:tblCellMar>
            <w:top w:w="0" w:type="dxa"/>
            <w:left w:w="0" w:type="dxa"/>
            <w:bottom w:w="0" w:type="dxa"/>
            <w:right w:w="0" w:type="dxa"/>
          </w:tblCellMar>
        </w:tblPrEx>
        <w:trPr>
          <w:trHeight w:val="285" w:hRule="atLeast"/>
        </w:trPr>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2023</w:t>
            </w:r>
          </w:p>
        </w:tc>
        <w:tc>
          <w:tcPr>
            <w:tcW w:w="30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2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所有建制镇完成编制消防规划</w:t>
            </w:r>
          </w:p>
        </w:tc>
        <w:tc>
          <w:tcPr>
            <w:tcW w:w="1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市、县（市）人民政府</w:t>
            </w:r>
          </w:p>
        </w:tc>
      </w:tr>
    </w:tbl>
    <w:p>
      <w:pPr>
        <w:pStyle w:val="4"/>
        <w:rPr>
          <w:color w:val="000000" w:themeColor="text1"/>
          <w14:textFill>
            <w14:solidFill>
              <w14:schemeClr w14:val="tx1"/>
            </w14:solidFill>
          </w14:textFill>
        </w:rPr>
      </w:pPr>
      <w:bookmarkStart w:id="127" w:name="_Toc20662"/>
      <w:r>
        <w:rPr>
          <w:rFonts w:hint="eastAsia"/>
          <w:color w:val="000000" w:themeColor="text1"/>
          <w14:textFill>
            <w14:solidFill>
              <w14:schemeClr w14:val="tx1"/>
            </w14:solidFill>
          </w14:textFill>
        </w:rPr>
        <w:t>（五）消防站及训练基地建设工程</w:t>
      </w:r>
      <w:bookmarkEnd w:id="117"/>
      <w:bookmarkEnd w:id="118"/>
      <w:bookmarkEnd w:id="119"/>
      <w:bookmarkEnd w:id="120"/>
      <w:bookmarkEnd w:id="121"/>
      <w:bookmarkEnd w:id="122"/>
      <w:bookmarkEnd w:id="123"/>
      <w:bookmarkEnd w:id="124"/>
      <w:bookmarkEnd w:id="125"/>
      <w:bookmarkEnd w:id="127"/>
    </w:p>
    <w:p>
      <w:pPr>
        <w:snapToGrid w:val="0"/>
        <w:spacing w:line="620" w:lineRule="exact"/>
        <w:ind w:firstLine="640" w:firstLineChars="200"/>
        <w:rPr>
          <w:color w:val="000000" w:themeColor="text1"/>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着力解决全市消防队站、训练基地历史欠账较多、规划执行不到位、布局不够合理、功能设施不够完善等突出问题，保障重点区域消防站规划及建设。</w:t>
      </w:r>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3876"/>
        <w:gridCol w:w="1512"/>
        <w:gridCol w:w="28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000" w:type="pct"/>
            <w:gridSpan w:val="4"/>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bookmarkStart w:id="128" w:name="_Toc8038"/>
            <w:bookmarkStart w:id="129" w:name="_Toc23215"/>
            <w:bookmarkStart w:id="130" w:name="_Toc27738"/>
            <w:bookmarkStart w:id="131" w:name="_Toc19442"/>
            <w:bookmarkStart w:id="132" w:name="_Toc8740"/>
            <w:bookmarkStart w:id="133" w:name="_Toc26385"/>
            <w:bookmarkStart w:id="134" w:name="_Toc2645"/>
            <w:bookmarkStart w:id="135" w:name="_Toc27127"/>
            <w:bookmarkStart w:id="136" w:name="_Toc464213695"/>
            <w:bookmarkStart w:id="137" w:name="_Toc464213694"/>
            <w:r>
              <w:rPr>
                <w:rFonts w:hint="eastAsia" w:asciiTheme="minorEastAsia" w:hAnsiTheme="minorEastAsia" w:cstheme="minorEastAsia"/>
                <w:color w:val="000000" w:themeColor="text1"/>
                <w:sz w:val="28"/>
                <w:szCs w:val="28"/>
                <w14:textFill>
                  <w14:solidFill>
                    <w14:schemeClr w14:val="tx1"/>
                  </w14:solidFill>
                </w14:textFill>
              </w:rPr>
              <w:t>专栏6：消防站及训练基地建设工程任务清单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年份</w:t>
            </w: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消防站名称</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建设资金（万）</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资金来源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restar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2021</w:t>
            </w: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消防训练基地和战勤保障基地</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8000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中央财政和银川市财政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永宁县闽宁镇消防站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1800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银川市财政和永宁县财政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金凤区尹家渠北街或宁安北大街消防站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1800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银川市财政和金凤区财政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兴庆区新华商圈小型消防站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500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银川市财政和兴庆区财政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贺兰县立岗镇消防站（小型站）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银川市财政和贺兰县财政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灵武市白土岗乡（或梧桐树乡）</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银川市财政和灵武市财政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412" w:type="pct"/>
            <w:vMerge w:val="restar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2022</w:t>
            </w: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西夏区宁朔消防站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1800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银川市财政和西夏区区区财政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贺兰县暖泉工业园区消防站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1800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自治区财政和贺兰县财政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贺兰县金贵镇或兴庆区通贵镇消防站（小型站或以上）</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银川市财政和贺兰县财政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永宁县胜利乡或望洪镇消防站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银川市财政和永宁县财政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永宁县李俊镇小型消防站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银川市财政和永宁县财政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restar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2023</w:t>
            </w: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贺兰县德胜规划2号消防站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1800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银川市财政和贺兰县财政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金凤区良田路消防站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1800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银川市财政和金凤区财政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12" w:type="pct"/>
            <w:vMerge w:val="continue"/>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p>
        </w:tc>
        <w:tc>
          <w:tcPr>
            <w:tcW w:w="21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兴庆区燕鸽湖消防站</w:t>
            </w:r>
          </w:p>
        </w:tc>
        <w:tc>
          <w:tcPr>
            <w:tcW w:w="846"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1800</w:t>
            </w:r>
          </w:p>
        </w:tc>
        <w:tc>
          <w:tcPr>
            <w:tcW w:w="1570" w:type="pct"/>
            <w:tcBorders>
              <w:tl2br w:val="nil"/>
              <w:tr2bl w:val="nil"/>
            </w:tcBorders>
            <w:shd w:val="clear" w:color="auto" w:fill="auto"/>
            <w:noWrap/>
            <w:tcMar>
              <w:top w:w="15" w:type="dxa"/>
              <w:left w:w="15" w:type="dxa"/>
              <w:right w:w="15" w:type="dxa"/>
            </w:tcMar>
            <w:vAlign w:val="center"/>
          </w:tcPr>
          <w:p>
            <w:pPr>
              <w:widowControl/>
              <w:spacing w:line="42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中央财政、银川市财政和兴庆区财政</w:t>
            </w:r>
          </w:p>
        </w:tc>
      </w:tr>
    </w:tbl>
    <w:p>
      <w:pPr>
        <w:pStyle w:val="4"/>
        <w:rPr>
          <w:color w:val="000000" w:themeColor="text1"/>
          <w14:textFill>
            <w14:solidFill>
              <w14:schemeClr w14:val="tx1"/>
            </w14:solidFill>
          </w14:textFill>
        </w:rPr>
      </w:pPr>
      <w:bookmarkStart w:id="138" w:name="_Toc2613"/>
      <w:r>
        <w:rPr>
          <w:rFonts w:hint="eastAsia"/>
          <w:color w:val="000000" w:themeColor="text1"/>
          <w14:textFill>
            <w14:solidFill>
              <w14:schemeClr w14:val="tx1"/>
            </w14:solidFill>
          </w14:textFill>
        </w:rPr>
        <w:t>（六）市政消防栓建设工程</w:t>
      </w:r>
      <w:bookmarkEnd w:id="128"/>
      <w:bookmarkEnd w:id="129"/>
      <w:bookmarkEnd w:id="130"/>
      <w:bookmarkEnd w:id="131"/>
      <w:bookmarkEnd w:id="132"/>
      <w:bookmarkEnd w:id="133"/>
      <w:bookmarkEnd w:id="134"/>
      <w:bookmarkEnd w:id="135"/>
      <w:bookmarkEnd w:id="138"/>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适应城市建设不断发展新需要，建立长效管理运行机制，全面加强市政消火栓建设，提升抗御火灾整体能力。</w:t>
      </w:r>
    </w:p>
    <w:tbl>
      <w:tblPr>
        <w:tblStyle w:val="15"/>
        <w:tblW w:w="91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59"/>
        <w:gridCol w:w="4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exact"/>
          <w:jc w:val="center"/>
        </w:trPr>
        <w:tc>
          <w:tcPr>
            <w:tcW w:w="9118" w:type="dxa"/>
            <w:gridSpan w:val="2"/>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专栏7：市政消火栓建设工程任务清单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exact"/>
          <w:jc w:val="center"/>
        </w:trPr>
        <w:tc>
          <w:tcPr>
            <w:tcW w:w="4559" w:type="dxa"/>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建设内容</w:t>
            </w:r>
          </w:p>
        </w:tc>
        <w:tc>
          <w:tcPr>
            <w:tcW w:w="4559" w:type="dxa"/>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资金来源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1" w:hRule="exact"/>
          <w:jc w:val="center"/>
        </w:trPr>
        <w:tc>
          <w:tcPr>
            <w:tcW w:w="4559" w:type="dxa"/>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2021年至2025年，每年新建270个市政消火栓，共增加1350个，到2025年，达到总数7258个。</w:t>
            </w:r>
          </w:p>
        </w:tc>
        <w:tc>
          <w:tcPr>
            <w:tcW w:w="4559" w:type="dxa"/>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银川市财政和县区财政</w:t>
            </w:r>
          </w:p>
        </w:tc>
      </w:tr>
    </w:tbl>
    <w:p>
      <w:pPr>
        <w:pStyle w:val="4"/>
        <w:rPr>
          <w:color w:val="000000" w:themeColor="text1"/>
          <w14:textFill>
            <w14:solidFill>
              <w14:schemeClr w14:val="tx1"/>
            </w14:solidFill>
          </w14:textFill>
        </w:rPr>
      </w:pPr>
      <w:bookmarkStart w:id="139" w:name="_Toc18031"/>
      <w:bookmarkStart w:id="140" w:name="_Toc23739"/>
      <w:bookmarkStart w:id="141" w:name="_Toc16959"/>
      <w:bookmarkStart w:id="142" w:name="_Toc30627"/>
      <w:bookmarkStart w:id="143" w:name="_Toc1160"/>
      <w:bookmarkStart w:id="144" w:name="_Toc999"/>
      <w:bookmarkStart w:id="145" w:name="_Toc72607747"/>
      <w:bookmarkStart w:id="146" w:name="_Toc6420"/>
      <w:bookmarkStart w:id="147" w:name="_Toc147"/>
      <w:bookmarkStart w:id="148" w:name="_Toc14238"/>
      <w:r>
        <w:rPr>
          <w:rFonts w:hint="eastAsia"/>
          <w:color w:val="000000" w:themeColor="text1"/>
          <w14:textFill>
            <w14:solidFill>
              <w14:schemeClr w14:val="tx1"/>
            </w14:solidFill>
          </w14:textFill>
        </w:rPr>
        <w:t>（七）老旧小区消防基础设施改造工程</w:t>
      </w:r>
      <w:bookmarkEnd w:id="139"/>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组织升级改造老旧小区消防设施，推动落实基层消防安全管理措施，有效改善消防安全条件。</w:t>
      </w:r>
    </w:p>
    <w:p>
      <w:pPr>
        <w:rPr>
          <w:color w:val="000000" w:themeColor="text1"/>
          <w14:textFill>
            <w14:solidFill>
              <w14:schemeClr w14:val="tx1"/>
            </w14:solidFill>
          </w14:textFill>
        </w:rPr>
      </w:pPr>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95"/>
        <w:gridCol w:w="2281"/>
        <w:gridCol w:w="23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exact"/>
          <w:jc w:val="center"/>
        </w:trPr>
        <w:tc>
          <w:tcPr>
            <w:tcW w:w="5000" w:type="pct"/>
            <w:gridSpan w:val="3"/>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专栏8：老旧小区消防基础设施建设工程任务清单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exact"/>
          <w:jc w:val="center"/>
        </w:trPr>
        <w:tc>
          <w:tcPr>
            <w:tcW w:w="2465"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建设内容</w:t>
            </w:r>
          </w:p>
        </w:tc>
        <w:tc>
          <w:tcPr>
            <w:tcW w:w="1251"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建设资金（万）</w:t>
            </w:r>
          </w:p>
        </w:tc>
        <w:tc>
          <w:tcPr>
            <w:tcW w:w="1282"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资金来源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5" w:hRule="exact"/>
          <w:jc w:val="center"/>
        </w:trPr>
        <w:tc>
          <w:tcPr>
            <w:tcW w:w="2465"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对红运新村、橡民B区、玫瑰园和兴夏苑等老旧小区进行改造。改造围绕解决老旧小区建筑物和配套设施破损老化、市政设施不完善、环境脏乱差、管理机制不健全、消防车通道不畅通、消防设施不完善等消防安全问题进行升级改造。</w:t>
            </w:r>
          </w:p>
        </w:tc>
        <w:tc>
          <w:tcPr>
            <w:tcW w:w="1251"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6250</w:t>
            </w:r>
          </w:p>
        </w:tc>
        <w:tc>
          <w:tcPr>
            <w:tcW w:w="1282"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中央财政、自治区财政、银川市财政和县区财政</w:t>
            </w:r>
          </w:p>
        </w:tc>
      </w:tr>
    </w:tbl>
    <w:p>
      <w:pPr>
        <w:pStyle w:val="4"/>
        <w:rPr>
          <w:color w:val="000000" w:themeColor="text1"/>
          <w14:textFill>
            <w14:solidFill>
              <w14:schemeClr w14:val="tx1"/>
            </w14:solidFill>
          </w14:textFill>
        </w:rPr>
      </w:pPr>
      <w:bookmarkStart w:id="149" w:name="_Toc5517"/>
      <w:r>
        <w:rPr>
          <w:rFonts w:hint="eastAsia"/>
          <w:color w:val="000000" w:themeColor="text1"/>
          <w14:textFill>
            <w14:solidFill>
              <w14:schemeClr w14:val="tx1"/>
            </w14:solidFill>
          </w14:textFill>
        </w:rPr>
        <w:t>（八）多种形式救援力量壮大工程</w:t>
      </w:r>
      <w:bookmarkEnd w:id="140"/>
      <w:bookmarkEnd w:id="141"/>
      <w:bookmarkEnd w:id="142"/>
      <w:bookmarkEnd w:id="143"/>
      <w:bookmarkEnd w:id="144"/>
      <w:bookmarkEnd w:id="145"/>
      <w:bookmarkEnd w:id="146"/>
      <w:bookmarkEnd w:id="147"/>
      <w:bookmarkEnd w:id="148"/>
      <w:bookmarkEnd w:id="149"/>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科学推进政府专职消防队伍建设发展，多渠道扩充一线防灭火力量，作为国家综合性消防救援队伍重要补充。</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1"/>
        <w:gridCol w:w="6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exact"/>
          <w:jc w:val="center"/>
        </w:trPr>
        <w:tc>
          <w:tcPr>
            <w:tcW w:w="9120" w:type="dxa"/>
            <w:gridSpan w:val="2"/>
            <w:vAlign w:val="center"/>
          </w:tcPr>
          <w:p>
            <w:pPr>
              <w:pStyle w:val="7"/>
              <w:spacing w:before="0" w:after="0" w:line="400" w:lineRule="exact"/>
              <w:jc w:val="center"/>
              <w:rPr>
                <w:rFonts w:eastAsia="宋体" w:asciiTheme="minorEastAsia" w:hAnsiTheme="minorEastAsia" w:cstheme="minorEastAsia"/>
                <w:b w:val="0"/>
                <w:bCs w:val="0"/>
                <w:color w:val="000000" w:themeColor="text1"/>
                <w14:textFill>
                  <w14:solidFill>
                    <w14:schemeClr w14:val="tx1"/>
                  </w14:solidFill>
                </w14:textFill>
              </w:rPr>
            </w:pPr>
            <w:r>
              <w:rPr>
                <w:rFonts w:hint="eastAsia" w:eastAsia="宋体" w:asciiTheme="minorEastAsia" w:hAnsiTheme="minorEastAsia" w:cstheme="minorEastAsia"/>
                <w:b w:val="0"/>
                <w:bCs w:val="0"/>
                <w:color w:val="000000" w:themeColor="text1"/>
                <w14:textFill>
                  <w14:solidFill>
                    <w14:schemeClr w14:val="tx1"/>
                  </w14:solidFill>
                </w14:textFill>
              </w:rPr>
              <w:t>专栏9：多种形式救援力量壮大工程任务清单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5" w:hRule="exact"/>
          <w:jc w:val="center"/>
        </w:trPr>
        <w:tc>
          <w:tcPr>
            <w:tcW w:w="2391" w:type="dxa"/>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政府专职消防员</w:t>
            </w:r>
          </w:p>
        </w:tc>
        <w:tc>
          <w:tcPr>
            <w:tcW w:w="6729" w:type="dxa"/>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2021年发展政府专职消防队员30人，2022年发展40人，2023年发展40人，2024年发展40人，2025年发展40人。到“十四五”末，全市新增政府专职消防队员总数达到190人。（见</w:t>
            </w:r>
            <w:r>
              <w:fldChar w:fldCharType="begin"/>
            </w:r>
            <w:r>
              <w:instrText xml:space="preserve"> HYPERLINK \l "_Toc448829793" </w:instrText>
            </w:r>
            <w:r>
              <w:fldChar w:fldCharType="separate"/>
            </w:r>
            <w:r>
              <w:rPr>
                <w:rFonts w:hint="eastAsia" w:asciiTheme="minorEastAsia" w:hAnsiTheme="minorEastAsia" w:cstheme="minorEastAsia"/>
                <w:color w:val="000000" w:themeColor="text1"/>
                <w:sz w:val="28"/>
                <w:szCs w:val="28"/>
                <w14:textFill>
                  <w14:solidFill>
                    <w14:schemeClr w14:val="tx1"/>
                  </w14:solidFill>
                </w14:textFill>
              </w:rPr>
              <w:t>银川市“十四五”政府专职</w:t>
            </w:r>
            <w:r>
              <w:rPr>
                <w:rFonts w:hint="eastAsia" w:asciiTheme="minorEastAsia" w:hAnsiTheme="minorEastAsia" w:cstheme="minorEastAsia"/>
                <w:color w:val="000000" w:themeColor="text1"/>
                <w:sz w:val="28"/>
                <w:szCs w:val="28"/>
                <w14:textFill>
                  <w14:solidFill>
                    <w14:schemeClr w14:val="tx1"/>
                  </w14:solidFill>
                </w14:textFill>
              </w:rPr>
              <w:fldChar w:fldCharType="end"/>
            </w:r>
            <w:r>
              <w:fldChar w:fldCharType="begin"/>
            </w:r>
            <w:r>
              <w:instrText xml:space="preserve"> HYPERLINK \l "_Toc448829794" </w:instrText>
            </w:r>
            <w:r>
              <w:fldChar w:fldCharType="separate"/>
            </w:r>
            <w:r>
              <w:rPr>
                <w:rFonts w:hint="eastAsia" w:asciiTheme="minorEastAsia" w:hAnsiTheme="minorEastAsia" w:cstheme="minorEastAsia"/>
                <w:color w:val="000000" w:themeColor="text1"/>
                <w:sz w:val="28"/>
                <w:szCs w:val="28"/>
                <w14:textFill>
                  <w14:solidFill>
                    <w14:schemeClr w14:val="tx1"/>
                  </w14:solidFill>
                </w14:textFill>
              </w:rPr>
              <w:t>消防队员、消防文员征召规划表</w:t>
            </w:r>
            <w:r>
              <w:rPr>
                <w:rFonts w:hint="eastAsia" w:asciiTheme="minorEastAsia" w:hAnsiTheme="minorEastAsia" w:cstheme="minorEastAsia"/>
                <w:color w:val="000000" w:themeColor="text1"/>
                <w:sz w:val="28"/>
                <w:szCs w:val="28"/>
                <w14:textFill>
                  <w14:solidFill>
                    <w14:schemeClr w14:val="tx1"/>
                  </w14:solidFill>
                </w14:textFill>
              </w:rPr>
              <w:fldChar w:fldCharType="end"/>
            </w:r>
            <w:r>
              <w:rPr>
                <w:rFonts w:hint="eastAsia" w:asciiTheme="minorEastAsia" w:hAnsiTheme="minorEastAsia" w:cstheme="minorEastAsia"/>
                <w:color w:val="000000" w:themeColor="text1"/>
                <w:sz w:val="28"/>
                <w:szCs w:val="2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3" w:hRule="exact"/>
          <w:jc w:val="center"/>
        </w:trPr>
        <w:tc>
          <w:tcPr>
            <w:tcW w:w="2391" w:type="dxa"/>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消防文员</w:t>
            </w:r>
          </w:p>
        </w:tc>
        <w:tc>
          <w:tcPr>
            <w:tcW w:w="6729" w:type="dxa"/>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消防文员与消防监督员比例达到1：1以上，并按照实</w:t>
            </w:r>
          </w:p>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际需求增补，2021年至2025年全市每年新增消防文员不少于5人，到“十四五”末，全市新增消防文员总数达到25人。（见</w:t>
            </w:r>
            <w:r>
              <w:fldChar w:fldCharType="begin"/>
            </w:r>
            <w:r>
              <w:instrText xml:space="preserve"> HYPERLINK \l "_Toc448829793" </w:instrText>
            </w:r>
            <w:r>
              <w:fldChar w:fldCharType="separate"/>
            </w:r>
            <w:r>
              <w:rPr>
                <w:rFonts w:hint="eastAsia" w:asciiTheme="minorEastAsia" w:hAnsiTheme="minorEastAsia" w:cstheme="minorEastAsia"/>
                <w:color w:val="000000" w:themeColor="text1"/>
                <w:sz w:val="28"/>
                <w:szCs w:val="28"/>
                <w14:textFill>
                  <w14:solidFill>
                    <w14:schemeClr w14:val="tx1"/>
                  </w14:solidFill>
                </w14:textFill>
              </w:rPr>
              <w:t>银川市“十四五”政府专职</w:t>
            </w:r>
            <w:r>
              <w:rPr>
                <w:rFonts w:hint="eastAsia" w:asciiTheme="minorEastAsia" w:hAnsiTheme="minorEastAsia" w:cstheme="minorEastAsia"/>
                <w:color w:val="000000" w:themeColor="text1"/>
                <w:sz w:val="28"/>
                <w:szCs w:val="28"/>
                <w14:textFill>
                  <w14:solidFill>
                    <w14:schemeClr w14:val="tx1"/>
                  </w14:solidFill>
                </w14:textFill>
              </w:rPr>
              <w:fldChar w:fldCharType="end"/>
            </w:r>
            <w:r>
              <w:fldChar w:fldCharType="begin"/>
            </w:r>
            <w:r>
              <w:instrText xml:space="preserve"> HYPERLINK \l "_Toc448829794" </w:instrText>
            </w:r>
            <w:r>
              <w:fldChar w:fldCharType="separate"/>
            </w:r>
            <w:r>
              <w:rPr>
                <w:rFonts w:hint="eastAsia" w:asciiTheme="minorEastAsia" w:hAnsiTheme="minorEastAsia" w:cstheme="minorEastAsia"/>
                <w:color w:val="000000" w:themeColor="text1"/>
                <w:sz w:val="28"/>
                <w:szCs w:val="28"/>
                <w14:textFill>
                  <w14:solidFill>
                    <w14:schemeClr w14:val="tx1"/>
                  </w14:solidFill>
                </w14:textFill>
              </w:rPr>
              <w:t>消防队员、消防文员征召规划表</w:t>
            </w:r>
            <w:r>
              <w:rPr>
                <w:rFonts w:hint="eastAsia" w:asciiTheme="minorEastAsia" w:hAnsiTheme="minorEastAsia" w:cstheme="minorEastAsia"/>
                <w:color w:val="000000" w:themeColor="text1"/>
                <w:sz w:val="28"/>
                <w:szCs w:val="28"/>
                <w14:textFill>
                  <w14:solidFill>
                    <w14:schemeClr w14:val="tx1"/>
                  </w14:solidFill>
                </w14:textFill>
              </w:rPr>
              <w:fldChar w:fldCharType="end"/>
            </w:r>
            <w:r>
              <w:rPr>
                <w:rFonts w:hint="eastAsia" w:asciiTheme="minorEastAsia" w:hAnsiTheme="minorEastAsia" w:cstheme="minorEastAsia"/>
                <w:color w:val="000000" w:themeColor="text1"/>
                <w:sz w:val="28"/>
                <w:szCs w:val="28"/>
                <w14:textFill>
                  <w14:solidFill>
                    <w14:schemeClr w14:val="tx1"/>
                  </w14:solidFill>
                </w14:textFill>
              </w:rPr>
              <w:t>）</w:t>
            </w:r>
          </w:p>
        </w:tc>
      </w:tr>
      <w:bookmarkEnd w:id="136"/>
      <w:bookmarkEnd w:id="137"/>
    </w:tbl>
    <w:p>
      <w:pPr>
        <w:pStyle w:val="4"/>
        <w:rPr>
          <w:color w:val="000000" w:themeColor="text1"/>
          <w14:textFill>
            <w14:solidFill>
              <w14:schemeClr w14:val="tx1"/>
            </w14:solidFill>
          </w14:textFill>
        </w:rPr>
      </w:pPr>
      <w:bookmarkStart w:id="150" w:name="_Toc17596"/>
      <w:bookmarkStart w:id="151" w:name="_Toc30044"/>
      <w:bookmarkStart w:id="152" w:name="_Toc29205"/>
      <w:bookmarkStart w:id="153" w:name="_Toc72607748"/>
      <w:bookmarkStart w:id="154" w:name="_Toc2002"/>
      <w:bookmarkStart w:id="155" w:name="_Toc14256"/>
      <w:bookmarkStart w:id="156" w:name="_Toc20800"/>
      <w:bookmarkStart w:id="157" w:name="_Toc20155"/>
      <w:bookmarkStart w:id="158" w:name="_Toc10869"/>
      <w:bookmarkStart w:id="159" w:name="_Toc10864"/>
      <w:r>
        <w:rPr>
          <w:rFonts w:hint="eastAsia"/>
          <w:color w:val="000000" w:themeColor="text1"/>
          <w14:textFill>
            <w14:solidFill>
              <w14:schemeClr w14:val="tx1"/>
            </w14:solidFill>
          </w14:textFill>
        </w:rPr>
        <w:t>（九）消防装备建设工程</w:t>
      </w:r>
      <w:bookmarkEnd w:id="150"/>
      <w:bookmarkEnd w:id="151"/>
      <w:bookmarkEnd w:id="152"/>
      <w:bookmarkEnd w:id="153"/>
      <w:bookmarkEnd w:id="154"/>
      <w:bookmarkEnd w:id="155"/>
      <w:bookmarkEnd w:id="156"/>
      <w:bookmarkEnd w:id="157"/>
      <w:bookmarkEnd w:id="158"/>
      <w:bookmarkEnd w:id="159"/>
    </w:p>
    <w:p>
      <w:pPr>
        <w:snapToGrid w:val="0"/>
        <w:spacing w:line="620" w:lineRule="exact"/>
        <w:ind w:firstLine="640" w:firstLineChars="200"/>
        <w:rPr>
          <w:color w:val="000000" w:themeColor="text1"/>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按照“标准配备与实战需求、常规配备与攻坚配备、基本配备与针对性配备相结合”的原则，有针对性配备装备，优化装备结构。</w:t>
      </w:r>
    </w:p>
    <w:tbl>
      <w:tblPr>
        <w:tblStyle w:val="15"/>
        <w:tblW w:w="906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3"/>
        <w:gridCol w:w="77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8" w:hRule="atLeast"/>
          <w:jc w:val="center"/>
        </w:trPr>
        <w:tc>
          <w:tcPr>
            <w:tcW w:w="9063" w:type="dxa"/>
            <w:gridSpan w:val="2"/>
            <w:noWrap/>
            <w:vAlign w:val="center"/>
          </w:tcPr>
          <w:p>
            <w:pPr>
              <w:widowControl/>
              <w:adjustRightInd w:val="0"/>
              <w:snapToGrid w:val="0"/>
              <w:spacing w:line="500" w:lineRule="exact"/>
              <w:jc w:val="center"/>
              <w:rPr>
                <w:rFonts w:eastAsia="黑体"/>
                <w:color w:val="000000"/>
                <w:kern w:val="0"/>
                <w:sz w:val="30"/>
                <w:szCs w:val="30"/>
              </w:rPr>
            </w:pPr>
            <w:bookmarkStart w:id="160" w:name="_Toc20030"/>
            <w:bookmarkStart w:id="161" w:name="_Toc32397"/>
            <w:bookmarkStart w:id="162" w:name="_Toc72607749"/>
            <w:bookmarkStart w:id="163" w:name="_Toc10831"/>
            <w:bookmarkStart w:id="164" w:name="_Toc28358"/>
            <w:bookmarkStart w:id="165" w:name="_Toc13510"/>
            <w:bookmarkStart w:id="166" w:name="_Toc20995"/>
            <w:bookmarkStart w:id="167" w:name="_Toc25664"/>
            <w:bookmarkStart w:id="168" w:name="_Toc9739"/>
            <w:r>
              <w:rPr>
                <w:rFonts w:hint="eastAsia" w:asciiTheme="minorEastAsia" w:hAnsiTheme="minorEastAsia" w:cstheme="minorEastAsia"/>
                <w:color w:val="000000" w:themeColor="text1"/>
                <w:sz w:val="28"/>
                <w:szCs w:val="28"/>
                <w14:textFill>
                  <w14:solidFill>
                    <w14:schemeClr w14:val="tx1"/>
                  </w14:solidFill>
                </w14:textFill>
              </w:rPr>
              <w:t>专栏10：消防装备建设工程任务清单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2" w:hRule="atLeast"/>
          <w:jc w:val="center"/>
        </w:trPr>
        <w:tc>
          <w:tcPr>
            <w:tcW w:w="1273" w:type="dxa"/>
            <w:vMerge w:val="restart"/>
            <w:noWrap/>
            <w:vAlign w:val="center"/>
          </w:tcPr>
          <w:p>
            <w:pPr>
              <w:widowControl/>
              <w:adjustRightInd w:val="0"/>
              <w:snapToGrid w:val="0"/>
              <w:spacing w:line="500" w:lineRule="exact"/>
              <w:jc w:val="center"/>
              <w:rPr>
                <w:color w:val="000000"/>
                <w:sz w:val="28"/>
                <w:szCs w:val="28"/>
              </w:rPr>
            </w:pPr>
            <w:r>
              <w:rPr>
                <w:rFonts w:hint="eastAsia"/>
                <w:color w:val="000000"/>
                <w:sz w:val="28"/>
                <w:szCs w:val="28"/>
              </w:rPr>
              <w:t>实战化装备</w:t>
            </w:r>
          </w:p>
        </w:tc>
        <w:tc>
          <w:tcPr>
            <w:tcW w:w="7790" w:type="dxa"/>
            <w:noWrap/>
            <w:vAlign w:val="center"/>
          </w:tcPr>
          <w:p>
            <w:pPr>
              <w:adjustRightInd w:val="0"/>
              <w:snapToGrid w:val="0"/>
              <w:spacing w:line="500" w:lineRule="exact"/>
              <w:rPr>
                <w:color w:val="000000"/>
                <w:sz w:val="28"/>
                <w:szCs w:val="28"/>
              </w:rPr>
            </w:pPr>
            <w:r>
              <w:rPr>
                <w:color w:val="000000"/>
                <w:sz w:val="28"/>
                <w:szCs w:val="28"/>
              </w:rPr>
              <w:t>202</w:t>
            </w:r>
            <w:r>
              <w:rPr>
                <w:rFonts w:hint="eastAsia"/>
                <w:color w:val="000000"/>
                <w:sz w:val="28"/>
                <w:szCs w:val="28"/>
              </w:rPr>
              <w:t>2年，全部消防救援站装备配备达到标准要求。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5"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adjustRightInd w:val="0"/>
              <w:snapToGrid w:val="0"/>
              <w:spacing w:line="500" w:lineRule="exact"/>
              <w:rPr>
                <w:color w:val="000000"/>
                <w:sz w:val="28"/>
                <w:szCs w:val="28"/>
              </w:rPr>
            </w:pPr>
            <w:r>
              <w:rPr>
                <w:color w:val="000000"/>
                <w:sz w:val="28"/>
                <w:szCs w:val="28"/>
              </w:rPr>
              <w:t>2023</w:t>
            </w:r>
            <w:r>
              <w:rPr>
                <w:rFonts w:hint="eastAsia"/>
                <w:color w:val="000000"/>
                <w:sz w:val="28"/>
                <w:szCs w:val="28"/>
              </w:rPr>
              <w:t>年，所有新建消防救援站装备配备达到标准要求，指战员个人防护装备适体率达到</w:t>
            </w:r>
            <w:r>
              <w:rPr>
                <w:color w:val="000000"/>
                <w:sz w:val="28"/>
                <w:szCs w:val="28"/>
              </w:rPr>
              <w:t>100%</w:t>
            </w:r>
            <w:r>
              <w:rPr>
                <w:rFonts w:hint="eastAsia"/>
                <w:color w:val="000000"/>
                <w:sz w:val="28"/>
                <w:szCs w:val="2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1"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adjustRightInd w:val="0"/>
              <w:snapToGrid w:val="0"/>
              <w:spacing w:line="500" w:lineRule="exact"/>
              <w:rPr>
                <w:color w:val="000000"/>
                <w:sz w:val="28"/>
                <w:szCs w:val="28"/>
              </w:rPr>
            </w:pPr>
            <w:r>
              <w:rPr>
                <w:rFonts w:hint="eastAsia"/>
                <w:color w:val="000000"/>
                <w:sz w:val="28"/>
                <w:szCs w:val="28"/>
              </w:rPr>
              <w:t>2</w:t>
            </w:r>
            <w:r>
              <w:rPr>
                <w:color w:val="000000"/>
                <w:sz w:val="28"/>
                <w:szCs w:val="28"/>
              </w:rPr>
              <w:t>024</w:t>
            </w:r>
            <w:r>
              <w:rPr>
                <w:rFonts w:hint="eastAsia"/>
                <w:color w:val="000000"/>
                <w:sz w:val="28"/>
                <w:szCs w:val="28"/>
              </w:rPr>
              <w:t>年，全市个人防护装备基本实现定人定装，实名制配备。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7" w:hRule="atLeast"/>
          <w:jc w:val="center"/>
        </w:trPr>
        <w:tc>
          <w:tcPr>
            <w:tcW w:w="1273" w:type="dxa"/>
            <w:vMerge w:val="restart"/>
            <w:noWrap/>
            <w:vAlign w:val="center"/>
          </w:tcPr>
          <w:p>
            <w:pPr>
              <w:widowControl/>
              <w:adjustRightInd w:val="0"/>
              <w:snapToGrid w:val="0"/>
              <w:spacing w:line="500" w:lineRule="exact"/>
              <w:jc w:val="center"/>
              <w:rPr>
                <w:color w:val="000000"/>
                <w:sz w:val="28"/>
                <w:szCs w:val="28"/>
              </w:rPr>
            </w:pPr>
            <w:r>
              <w:rPr>
                <w:rFonts w:hint="eastAsia"/>
                <w:color w:val="000000"/>
                <w:sz w:val="28"/>
                <w:szCs w:val="28"/>
              </w:rPr>
              <w:t>攻坚型装备</w:t>
            </w:r>
          </w:p>
        </w:tc>
        <w:tc>
          <w:tcPr>
            <w:tcW w:w="7790" w:type="dxa"/>
            <w:noWrap/>
            <w:vAlign w:val="center"/>
          </w:tcPr>
          <w:p>
            <w:pPr>
              <w:widowControl/>
              <w:adjustRightInd w:val="0"/>
              <w:snapToGrid w:val="0"/>
              <w:spacing w:line="500" w:lineRule="exact"/>
              <w:rPr>
                <w:color w:val="000000"/>
                <w:sz w:val="28"/>
                <w:szCs w:val="28"/>
              </w:rPr>
            </w:pPr>
            <w:r>
              <w:rPr>
                <w:rFonts w:hint="eastAsia" w:asciiTheme="minorEastAsia" w:hAnsiTheme="minorEastAsia" w:cstheme="minorEastAsia"/>
                <w:color w:val="000000" w:themeColor="text1"/>
                <w:sz w:val="28"/>
                <w:szCs w:val="28"/>
                <w14:textFill>
                  <w14:solidFill>
                    <w14:schemeClr w14:val="tx1"/>
                  </w14:solidFill>
                </w14:textFill>
              </w:rPr>
              <w:t>2022年，银川市消防救援支队围绕化工、高层建筑、地下建筑、大型城市综合体、大型堆垛仓储火灾扑救，探索灭火救援机器人、拖车炮、遥控炮等新装备作战编成，根据主要灾害类型购置消防机器人。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5"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widowControl/>
              <w:adjustRightInd w:val="0"/>
              <w:snapToGrid w:val="0"/>
              <w:spacing w:line="500" w:lineRule="exact"/>
              <w:rPr>
                <w:color w:val="000000"/>
                <w:sz w:val="28"/>
                <w:szCs w:val="28"/>
              </w:rPr>
            </w:pPr>
            <w:r>
              <w:rPr>
                <w:color w:val="000000"/>
                <w:sz w:val="28"/>
                <w:szCs w:val="28"/>
              </w:rPr>
              <w:t>2023</w:t>
            </w:r>
            <w:r>
              <w:rPr>
                <w:rFonts w:hint="eastAsia"/>
                <w:color w:val="000000"/>
                <w:sz w:val="28"/>
                <w:szCs w:val="28"/>
              </w:rPr>
              <w:t>年，各专业队在配备常规装备基础上，根据灾害类型，探索配备民用实用装备和特种装备配备。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9"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widowControl/>
              <w:adjustRightInd w:val="0"/>
              <w:snapToGrid w:val="0"/>
              <w:spacing w:line="500" w:lineRule="exact"/>
              <w:rPr>
                <w:color w:val="000000"/>
                <w:sz w:val="28"/>
                <w:szCs w:val="28"/>
              </w:rPr>
            </w:pPr>
            <w:r>
              <w:rPr>
                <w:color w:val="000000"/>
                <w:sz w:val="28"/>
                <w:szCs w:val="28"/>
              </w:rPr>
              <w:t>2024</w:t>
            </w:r>
            <w:r>
              <w:rPr>
                <w:rFonts w:hint="eastAsia"/>
                <w:color w:val="000000"/>
                <w:sz w:val="28"/>
                <w:szCs w:val="28"/>
              </w:rPr>
              <w:t>年，灭火攻坚装备作战效能实现大幅提升。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9"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widowControl/>
              <w:adjustRightInd w:val="0"/>
              <w:snapToGrid w:val="0"/>
              <w:spacing w:line="500" w:lineRule="exact"/>
              <w:rPr>
                <w:color w:val="000000"/>
                <w:sz w:val="28"/>
                <w:szCs w:val="28"/>
              </w:rPr>
            </w:pPr>
            <w:r>
              <w:rPr>
                <w:rFonts w:hint="eastAsia"/>
                <w:color w:val="000000"/>
                <w:sz w:val="28"/>
                <w:szCs w:val="28"/>
              </w:rPr>
              <w:t>2025年，应对各类灾害攻坚装备配备齐全。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1273" w:type="dxa"/>
            <w:vMerge w:val="restart"/>
            <w:noWrap/>
            <w:vAlign w:val="center"/>
          </w:tcPr>
          <w:p>
            <w:pPr>
              <w:widowControl/>
              <w:adjustRightInd w:val="0"/>
              <w:snapToGrid w:val="0"/>
              <w:spacing w:line="500" w:lineRule="exact"/>
              <w:jc w:val="center"/>
              <w:rPr>
                <w:color w:val="000000"/>
                <w:sz w:val="28"/>
                <w:szCs w:val="28"/>
              </w:rPr>
            </w:pPr>
            <w:r>
              <w:rPr>
                <w:rFonts w:hint="eastAsia"/>
                <w:color w:val="000000"/>
                <w:sz w:val="28"/>
                <w:szCs w:val="28"/>
              </w:rPr>
              <w:t>专业化装备</w:t>
            </w:r>
          </w:p>
        </w:tc>
        <w:tc>
          <w:tcPr>
            <w:tcW w:w="7790" w:type="dxa"/>
            <w:tcBorders>
              <w:bottom w:val="single" w:color="auto" w:sz="8" w:space="0"/>
            </w:tcBorders>
            <w:noWrap/>
            <w:vAlign w:val="center"/>
          </w:tcPr>
          <w:p>
            <w:pPr>
              <w:widowControl/>
              <w:adjustRightInd w:val="0"/>
              <w:snapToGrid w:val="0"/>
              <w:spacing w:line="500" w:lineRule="exact"/>
              <w:rPr>
                <w:color w:val="000000"/>
                <w:sz w:val="28"/>
                <w:szCs w:val="28"/>
              </w:rPr>
            </w:pPr>
            <w:r>
              <w:rPr>
                <w:color w:val="000000"/>
                <w:sz w:val="28"/>
                <w:szCs w:val="28"/>
              </w:rPr>
              <w:t>2021</w:t>
            </w:r>
            <w:r>
              <w:rPr>
                <w:rFonts w:hint="eastAsia"/>
                <w:color w:val="000000"/>
                <w:sz w:val="28"/>
                <w:szCs w:val="28"/>
              </w:rPr>
              <w:t>年，加快推进山岳、地震和水域救援专业队装备配备。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2"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tcBorders>
              <w:bottom w:val="single" w:color="auto" w:sz="8" w:space="0"/>
            </w:tcBorders>
            <w:noWrap/>
            <w:vAlign w:val="center"/>
          </w:tcPr>
          <w:p>
            <w:pPr>
              <w:widowControl/>
              <w:adjustRightInd w:val="0"/>
              <w:snapToGrid w:val="0"/>
              <w:spacing w:line="500" w:lineRule="exact"/>
              <w:rPr>
                <w:color w:val="000000"/>
                <w:sz w:val="28"/>
                <w:szCs w:val="28"/>
              </w:rPr>
            </w:pPr>
            <w:r>
              <w:rPr>
                <w:color w:val="000000"/>
                <w:sz w:val="28"/>
                <w:szCs w:val="28"/>
              </w:rPr>
              <w:t>2022</w:t>
            </w:r>
            <w:r>
              <w:rPr>
                <w:rFonts w:hint="eastAsia"/>
                <w:color w:val="000000"/>
                <w:sz w:val="28"/>
                <w:szCs w:val="28"/>
              </w:rPr>
              <w:t>年，各专业队在配备常规装备基础上，根据灾害类型，根据实战需要配备特种实用装备。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2"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tcBorders>
              <w:bottom w:val="single" w:color="auto" w:sz="8" w:space="0"/>
            </w:tcBorders>
            <w:noWrap/>
            <w:vAlign w:val="center"/>
          </w:tcPr>
          <w:p>
            <w:pPr>
              <w:widowControl/>
              <w:adjustRightInd w:val="0"/>
              <w:snapToGrid w:val="0"/>
              <w:spacing w:line="500" w:lineRule="exact"/>
              <w:rPr>
                <w:color w:val="000000"/>
                <w:sz w:val="28"/>
                <w:szCs w:val="28"/>
              </w:rPr>
            </w:pPr>
            <w:r>
              <w:rPr>
                <w:color w:val="000000"/>
                <w:sz w:val="28"/>
                <w:szCs w:val="28"/>
              </w:rPr>
              <w:t>2023</w:t>
            </w:r>
            <w:r>
              <w:rPr>
                <w:rFonts w:hint="eastAsia"/>
                <w:color w:val="000000"/>
                <w:sz w:val="28"/>
                <w:szCs w:val="28"/>
              </w:rPr>
              <w:t>年，各专业队装备全部按要求配备到位。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2"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tcBorders>
              <w:bottom w:val="single" w:color="auto" w:sz="8" w:space="0"/>
            </w:tcBorders>
            <w:noWrap/>
            <w:vAlign w:val="center"/>
          </w:tcPr>
          <w:p>
            <w:pPr>
              <w:widowControl/>
              <w:adjustRightInd w:val="0"/>
              <w:snapToGrid w:val="0"/>
              <w:spacing w:line="500" w:lineRule="exact"/>
              <w:rPr>
                <w:color w:val="000000"/>
                <w:sz w:val="28"/>
                <w:szCs w:val="28"/>
              </w:rPr>
            </w:pPr>
            <w:r>
              <w:rPr>
                <w:rFonts w:hint="eastAsia"/>
                <w:color w:val="000000"/>
                <w:sz w:val="28"/>
                <w:szCs w:val="28"/>
              </w:rPr>
              <w:t>2024年，根据职能任务拓展，强化专业装备配备。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2" w:hRule="atLeast"/>
          <w:jc w:val="center"/>
        </w:trPr>
        <w:tc>
          <w:tcPr>
            <w:tcW w:w="1273" w:type="dxa"/>
            <w:vMerge w:val="continue"/>
            <w:tcBorders>
              <w:bottom w:val="single" w:color="auto" w:sz="8" w:space="0"/>
            </w:tcBorders>
            <w:noWrap/>
            <w:vAlign w:val="center"/>
          </w:tcPr>
          <w:p>
            <w:pPr>
              <w:widowControl/>
              <w:adjustRightInd w:val="0"/>
              <w:snapToGrid w:val="0"/>
              <w:spacing w:line="500" w:lineRule="exact"/>
              <w:jc w:val="center"/>
              <w:rPr>
                <w:color w:val="000000"/>
                <w:sz w:val="28"/>
                <w:szCs w:val="28"/>
              </w:rPr>
            </w:pPr>
          </w:p>
        </w:tc>
        <w:tc>
          <w:tcPr>
            <w:tcW w:w="7790" w:type="dxa"/>
            <w:tcBorders>
              <w:bottom w:val="single" w:color="auto" w:sz="8" w:space="0"/>
            </w:tcBorders>
            <w:noWrap/>
            <w:vAlign w:val="center"/>
          </w:tcPr>
          <w:p>
            <w:pPr>
              <w:widowControl/>
              <w:adjustRightInd w:val="0"/>
              <w:snapToGrid w:val="0"/>
              <w:spacing w:line="500" w:lineRule="exact"/>
              <w:rPr>
                <w:color w:val="000000"/>
                <w:sz w:val="28"/>
                <w:szCs w:val="28"/>
              </w:rPr>
            </w:pPr>
            <w:r>
              <w:rPr>
                <w:rFonts w:hint="eastAsia"/>
                <w:color w:val="000000"/>
                <w:sz w:val="28"/>
                <w:szCs w:val="28"/>
              </w:rPr>
              <w:t>2025年，全市专业队装备建设满足各类灾害实战需求。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4" w:hRule="atLeast"/>
          <w:jc w:val="center"/>
        </w:trPr>
        <w:tc>
          <w:tcPr>
            <w:tcW w:w="1273" w:type="dxa"/>
            <w:vMerge w:val="restart"/>
            <w:noWrap/>
            <w:vAlign w:val="center"/>
          </w:tcPr>
          <w:p>
            <w:pPr>
              <w:widowControl/>
              <w:adjustRightInd w:val="0"/>
              <w:snapToGrid w:val="0"/>
              <w:spacing w:line="500" w:lineRule="exact"/>
              <w:jc w:val="center"/>
              <w:rPr>
                <w:color w:val="000000"/>
                <w:sz w:val="28"/>
                <w:szCs w:val="28"/>
              </w:rPr>
            </w:pPr>
            <w:r>
              <w:rPr>
                <w:rFonts w:hint="eastAsia"/>
                <w:color w:val="000000"/>
                <w:sz w:val="28"/>
                <w:szCs w:val="28"/>
              </w:rPr>
              <w:t>自然灾害救援装备</w:t>
            </w:r>
          </w:p>
        </w:tc>
        <w:tc>
          <w:tcPr>
            <w:tcW w:w="7790" w:type="dxa"/>
            <w:noWrap/>
            <w:vAlign w:val="center"/>
          </w:tcPr>
          <w:p>
            <w:pPr>
              <w:adjustRightInd w:val="0"/>
              <w:snapToGrid w:val="0"/>
              <w:spacing w:line="500" w:lineRule="exact"/>
              <w:rPr>
                <w:color w:val="000000"/>
                <w:sz w:val="28"/>
                <w:szCs w:val="28"/>
              </w:rPr>
            </w:pPr>
            <w:r>
              <w:rPr>
                <w:color w:val="000000"/>
                <w:sz w:val="28"/>
                <w:szCs w:val="28"/>
              </w:rPr>
              <w:t>2021</w:t>
            </w:r>
            <w:r>
              <w:rPr>
                <w:rFonts w:hint="eastAsia"/>
                <w:color w:val="000000"/>
                <w:sz w:val="28"/>
                <w:szCs w:val="28"/>
              </w:rPr>
              <w:t>年，结合全市实际加强自然灾害救援装备配备。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3"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adjustRightInd w:val="0"/>
              <w:snapToGrid w:val="0"/>
              <w:spacing w:line="500" w:lineRule="exact"/>
              <w:rPr>
                <w:color w:val="000000"/>
                <w:sz w:val="28"/>
                <w:szCs w:val="28"/>
              </w:rPr>
            </w:pPr>
            <w:r>
              <w:rPr>
                <w:color w:val="000000"/>
                <w:sz w:val="28"/>
                <w:szCs w:val="28"/>
              </w:rPr>
              <w:t>2023</w:t>
            </w:r>
            <w:r>
              <w:rPr>
                <w:rFonts w:hint="eastAsia"/>
                <w:color w:val="000000"/>
                <w:sz w:val="28"/>
                <w:szCs w:val="28"/>
              </w:rPr>
              <w:t>年，全市自然灾害救援装备基本满足实战需求。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3"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adjustRightInd w:val="0"/>
              <w:snapToGrid w:val="0"/>
              <w:spacing w:line="500" w:lineRule="exact"/>
              <w:rPr>
                <w:color w:val="000000"/>
                <w:sz w:val="28"/>
                <w:szCs w:val="28"/>
              </w:rPr>
            </w:pPr>
            <w:r>
              <w:rPr>
                <w:rFonts w:hint="eastAsia"/>
                <w:color w:val="000000"/>
                <w:sz w:val="28"/>
                <w:szCs w:val="28"/>
              </w:rPr>
              <w:t>2025年，全市自然灾害救援装备满足各类自然灾害实战需求。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3" w:hRule="atLeast"/>
          <w:jc w:val="center"/>
        </w:trPr>
        <w:tc>
          <w:tcPr>
            <w:tcW w:w="1273" w:type="dxa"/>
            <w:vMerge w:val="restart"/>
            <w:noWrap/>
            <w:vAlign w:val="center"/>
          </w:tcPr>
          <w:p>
            <w:pPr>
              <w:widowControl/>
              <w:adjustRightInd w:val="0"/>
              <w:snapToGrid w:val="0"/>
              <w:spacing w:line="500" w:lineRule="exact"/>
              <w:jc w:val="center"/>
              <w:rPr>
                <w:color w:val="000000"/>
                <w:sz w:val="28"/>
                <w:szCs w:val="28"/>
              </w:rPr>
            </w:pPr>
            <w:r>
              <w:rPr>
                <w:rFonts w:hint="eastAsia"/>
                <w:color w:val="000000"/>
                <w:sz w:val="28"/>
                <w:szCs w:val="28"/>
              </w:rPr>
              <w:t>战勤保障车辆装备</w:t>
            </w:r>
          </w:p>
        </w:tc>
        <w:tc>
          <w:tcPr>
            <w:tcW w:w="7790" w:type="dxa"/>
            <w:noWrap/>
            <w:vAlign w:val="center"/>
          </w:tcPr>
          <w:p>
            <w:pPr>
              <w:snapToGrid w:val="0"/>
              <w:spacing w:line="500" w:lineRule="exact"/>
              <w:rPr>
                <w:color w:val="000000"/>
                <w:sz w:val="28"/>
                <w:szCs w:val="28"/>
              </w:rPr>
            </w:pPr>
            <w:r>
              <w:rPr>
                <w:rFonts w:hint="eastAsia" w:asciiTheme="minorEastAsia" w:hAnsiTheme="minorEastAsia" w:cstheme="minorEastAsia"/>
                <w:color w:val="000000" w:themeColor="text1"/>
                <w:sz w:val="28"/>
                <w:szCs w:val="28"/>
                <w14:textFill>
                  <w14:solidFill>
                    <w14:schemeClr w14:val="tx1"/>
                  </w14:solidFill>
                </w14:textFill>
              </w:rPr>
              <w:t>2021年，银川市消防救援支队制定战勤保障车辆装备物资配备标准，完成后勤保障编组建设任务，全市战勤保障大队车辆装备物资配备达标率100%。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2"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snapToGrid w:val="0"/>
              <w:spacing w:line="500" w:lineRule="exact"/>
              <w:rPr>
                <w:color w:val="000000"/>
                <w:sz w:val="28"/>
                <w:szCs w:val="28"/>
              </w:rPr>
            </w:pPr>
            <w:r>
              <w:rPr>
                <w:color w:val="000000"/>
                <w:sz w:val="28"/>
                <w:szCs w:val="28"/>
              </w:rPr>
              <w:t>2022</w:t>
            </w:r>
            <w:r>
              <w:rPr>
                <w:rFonts w:hint="eastAsia"/>
                <w:color w:val="000000"/>
                <w:sz w:val="28"/>
                <w:szCs w:val="28"/>
              </w:rPr>
              <w:t>年，开展战勤保障车辆装备达标验收。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2"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snapToGrid w:val="0"/>
              <w:spacing w:line="500" w:lineRule="exact"/>
              <w:rPr>
                <w:color w:val="000000"/>
                <w:sz w:val="28"/>
                <w:szCs w:val="28"/>
              </w:rPr>
            </w:pPr>
            <w:r>
              <w:rPr>
                <w:color w:val="000000"/>
                <w:sz w:val="28"/>
                <w:szCs w:val="28"/>
              </w:rPr>
              <w:t>2023</w:t>
            </w:r>
            <w:r>
              <w:rPr>
                <w:rFonts w:hint="eastAsia"/>
                <w:color w:val="000000"/>
                <w:sz w:val="28"/>
                <w:szCs w:val="28"/>
              </w:rPr>
              <w:t>年，基本淘汰使用年限</w:t>
            </w:r>
            <w:r>
              <w:rPr>
                <w:color w:val="000000"/>
                <w:sz w:val="28"/>
                <w:szCs w:val="28"/>
              </w:rPr>
              <w:t>12</w:t>
            </w:r>
            <w:r>
              <w:rPr>
                <w:rFonts w:hint="eastAsia"/>
                <w:color w:val="000000"/>
                <w:sz w:val="28"/>
                <w:szCs w:val="28"/>
              </w:rPr>
              <w:t>年以上的战勤保障车辆，全市战勤保障单位战勤保障车辆性能满足实战要求。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2"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snapToGrid w:val="0"/>
              <w:spacing w:line="500" w:lineRule="exact"/>
              <w:rPr>
                <w:color w:val="000000"/>
                <w:sz w:val="28"/>
                <w:szCs w:val="28"/>
              </w:rPr>
            </w:pPr>
            <w:r>
              <w:rPr>
                <w:rFonts w:hint="eastAsia"/>
                <w:color w:val="000000"/>
                <w:sz w:val="28"/>
                <w:szCs w:val="28"/>
              </w:rPr>
              <w:t>2024年，根据职能任务拓展，配备功能更为齐全战勤保障类车辆，满足各类保障需求。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2" w:hRule="atLeast"/>
          <w:jc w:val="center"/>
        </w:trPr>
        <w:tc>
          <w:tcPr>
            <w:tcW w:w="1273" w:type="dxa"/>
            <w:vMerge w:val="continue"/>
            <w:noWrap/>
            <w:vAlign w:val="center"/>
          </w:tcPr>
          <w:p>
            <w:pPr>
              <w:widowControl/>
              <w:adjustRightInd w:val="0"/>
              <w:snapToGrid w:val="0"/>
              <w:spacing w:line="500" w:lineRule="exact"/>
              <w:jc w:val="center"/>
              <w:rPr>
                <w:color w:val="000000"/>
                <w:sz w:val="28"/>
                <w:szCs w:val="28"/>
              </w:rPr>
            </w:pPr>
          </w:p>
        </w:tc>
        <w:tc>
          <w:tcPr>
            <w:tcW w:w="7790" w:type="dxa"/>
            <w:noWrap/>
            <w:vAlign w:val="center"/>
          </w:tcPr>
          <w:p>
            <w:pPr>
              <w:snapToGrid w:val="0"/>
              <w:spacing w:line="500" w:lineRule="exact"/>
              <w:rPr>
                <w:color w:val="000000"/>
                <w:sz w:val="28"/>
                <w:szCs w:val="28"/>
              </w:rPr>
            </w:pPr>
            <w:r>
              <w:rPr>
                <w:rFonts w:hint="eastAsia"/>
                <w:color w:val="000000"/>
                <w:sz w:val="28"/>
                <w:szCs w:val="28"/>
              </w:rPr>
              <w:t>2025年，全市战勤保障类车辆装备配备齐全，满足各类灾害保障需求。</w:t>
            </w:r>
          </w:p>
        </w:tc>
      </w:tr>
    </w:tbl>
    <w:p/>
    <w:p>
      <w:pPr>
        <w:pStyle w:val="2"/>
      </w:pPr>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95"/>
        <w:gridCol w:w="2281"/>
        <w:gridCol w:w="23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exact"/>
          <w:jc w:val="center"/>
        </w:trPr>
        <w:tc>
          <w:tcPr>
            <w:tcW w:w="5000" w:type="pct"/>
            <w:gridSpan w:val="3"/>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专栏11：消防装备采购任务清单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exact"/>
          <w:jc w:val="center"/>
        </w:trPr>
        <w:tc>
          <w:tcPr>
            <w:tcW w:w="2465"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建设内容</w:t>
            </w:r>
          </w:p>
        </w:tc>
        <w:tc>
          <w:tcPr>
            <w:tcW w:w="1251"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建设资金（万）</w:t>
            </w:r>
          </w:p>
        </w:tc>
        <w:tc>
          <w:tcPr>
            <w:tcW w:w="1282"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资金来源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5" w:hRule="exact"/>
          <w:jc w:val="center"/>
        </w:trPr>
        <w:tc>
          <w:tcPr>
            <w:tcW w:w="2465"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按照“全灾种、大应急”任务需求，乡镇消防站建设，应急物资储备等要求，需要新增配备各类消防车辆55辆、个人防护装备19512件套、其他救援器材26577件套。</w:t>
            </w:r>
          </w:p>
        </w:tc>
        <w:tc>
          <w:tcPr>
            <w:tcW w:w="1251"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8000</w:t>
            </w:r>
          </w:p>
        </w:tc>
        <w:tc>
          <w:tcPr>
            <w:tcW w:w="1282"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中央补助资金，自治区补助资金，市、县（市）财政</w:t>
            </w:r>
          </w:p>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p>
        </w:tc>
      </w:tr>
    </w:tbl>
    <w:p>
      <w:pPr>
        <w:pStyle w:val="4"/>
        <w:rPr>
          <w:color w:val="000000" w:themeColor="text1"/>
          <w14:textFill>
            <w14:solidFill>
              <w14:schemeClr w14:val="tx1"/>
            </w14:solidFill>
          </w14:textFill>
        </w:rPr>
      </w:pPr>
      <w:bookmarkStart w:id="169" w:name="_Toc31283"/>
      <w:r>
        <w:rPr>
          <w:rFonts w:hint="eastAsia"/>
          <w:color w:val="000000" w:themeColor="text1"/>
          <w14:textFill>
            <w14:solidFill>
              <w14:schemeClr w14:val="tx1"/>
            </w14:solidFill>
          </w14:textFill>
        </w:rPr>
        <w:t>（十）装备物资储备工程</w:t>
      </w:r>
      <w:bookmarkEnd w:id="169"/>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坚持以提高应急消防救援作战保障力为目标，建立不受建制限制、前后方无缝对接且相对垂直的应急装备物资保障体系，主动融入消防救援指挥体系建设。</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6"/>
        <w:gridCol w:w="7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exact"/>
          <w:jc w:val="center"/>
        </w:trPr>
        <w:tc>
          <w:tcPr>
            <w:tcW w:w="9239" w:type="dxa"/>
            <w:gridSpan w:val="2"/>
            <w:vAlign w:val="center"/>
          </w:tcPr>
          <w:p>
            <w:pPr>
              <w:pStyle w:val="7"/>
              <w:snapToGrid w:val="0"/>
              <w:spacing w:before="0" w:after="0" w:line="500" w:lineRule="exact"/>
              <w:jc w:val="center"/>
              <w:rPr>
                <w:color w:val="000000"/>
              </w:rPr>
            </w:pPr>
            <w:bookmarkStart w:id="170" w:name="_Toc13038"/>
            <w:bookmarkStart w:id="171" w:name="_Toc21828"/>
            <w:bookmarkStart w:id="172" w:name="_Toc3344"/>
            <w:bookmarkStart w:id="173" w:name="_Toc72607731"/>
            <w:bookmarkStart w:id="174" w:name="_Toc2980"/>
            <w:bookmarkStart w:id="175" w:name="_Toc26643"/>
            <w:bookmarkStart w:id="176" w:name="_Toc8442"/>
            <w:bookmarkStart w:id="177" w:name="_Toc17562"/>
            <w:bookmarkStart w:id="178" w:name="_Toc25733"/>
            <w:r>
              <w:rPr>
                <w:rFonts w:hint="eastAsia" w:eastAsia="宋体" w:asciiTheme="minorEastAsia" w:hAnsiTheme="minorEastAsia" w:cstheme="minorEastAsia"/>
                <w:b w:val="0"/>
                <w:bCs w:val="0"/>
                <w:color w:val="000000" w:themeColor="text1"/>
                <w14:textFill>
                  <w14:solidFill>
                    <w14:schemeClr w14:val="tx1"/>
                  </w14:solidFill>
                </w14:textFill>
              </w:rPr>
              <w:t>专栏12：提升装备物资储备工程任务清单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6" w:hRule="exact"/>
          <w:jc w:val="center"/>
        </w:trPr>
        <w:tc>
          <w:tcPr>
            <w:tcW w:w="1218" w:type="dxa"/>
            <w:vMerge w:val="restart"/>
            <w:vAlign w:val="center"/>
          </w:tcPr>
          <w:p>
            <w:pPr>
              <w:widowControl/>
              <w:adjustRightInd w:val="0"/>
              <w:snapToGrid w:val="0"/>
              <w:spacing w:line="500" w:lineRule="exact"/>
              <w:jc w:val="center"/>
              <w:rPr>
                <w:color w:val="000000"/>
                <w:sz w:val="28"/>
                <w:szCs w:val="28"/>
              </w:rPr>
            </w:pPr>
            <w:r>
              <w:rPr>
                <w:rFonts w:hint="eastAsia"/>
                <w:color w:val="000000"/>
                <w:sz w:val="28"/>
                <w:szCs w:val="28"/>
              </w:rPr>
              <w:t>加强物资储备基础设施建设</w:t>
            </w:r>
          </w:p>
        </w:tc>
        <w:tc>
          <w:tcPr>
            <w:tcW w:w="8021" w:type="dxa"/>
            <w:tcBorders>
              <w:bottom w:val="single" w:color="auto" w:sz="4" w:space="0"/>
            </w:tcBorders>
            <w:vAlign w:val="center"/>
          </w:tcPr>
          <w:p>
            <w:pPr>
              <w:widowControl/>
              <w:adjustRightInd w:val="0"/>
              <w:snapToGrid w:val="0"/>
              <w:spacing w:line="500" w:lineRule="exact"/>
              <w:rPr>
                <w:color w:val="000000"/>
                <w:sz w:val="28"/>
                <w:szCs w:val="28"/>
              </w:rPr>
            </w:pPr>
            <w:r>
              <w:rPr>
                <w:rFonts w:hint="eastAsia"/>
                <w:color w:val="000000"/>
                <w:sz w:val="28"/>
                <w:szCs w:val="28"/>
              </w:rPr>
              <w:t>2021年底，配合应急管理部消防救援局完成银川物资储备库建设任务，并做好储备器材管理。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5" w:hRule="exact"/>
          <w:jc w:val="center"/>
        </w:trPr>
        <w:tc>
          <w:tcPr>
            <w:tcW w:w="1218" w:type="dxa"/>
            <w:vMerge w:val="continue"/>
            <w:vAlign w:val="center"/>
          </w:tcPr>
          <w:p>
            <w:pPr>
              <w:widowControl/>
              <w:adjustRightInd w:val="0"/>
              <w:snapToGrid w:val="0"/>
              <w:spacing w:line="500" w:lineRule="exact"/>
              <w:jc w:val="center"/>
              <w:rPr>
                <w:color w:val="000000"/>
                <w:sz w:val="28"/>
                <w:szCs w:val="28"/>
              </w:rPr>
            </w:pPr>
          </w:p>
        </w:tc>
        <w:tc>
          <w:tcPr>
            <w:tcW w:w="8021" w:type="dxa"/>
            <w:tcBorders>
              <w:top w:val="single" w:color="auto" w:sz="4" w:space="0"/>
              <w:bottom w:val="single" w:color="auto" w:sz="4" w:space="0"/>
            </w:tcBorders>
            <w:vAlign w:val="center"/>
          </w:tcPr>
          <w:p>
            <w:pPr>
              <w:adjustRightInd w:val="0"/>
              <w:snapToGrid w:val="0"/>
              <w:spacing w:line="500" w:lineRule="exact"/>
              <w:rPr>
                <w:color w:val="000000"/>
                <w:sz w:val="28"/>
                <w:szCs w:val="28"/>
              </w:rPr>
            </w:pPr>
            <w:r>
              <w:rPr>
                <w:rFonts w:hint="eastAsia"/>
                <w:color w:val="000000"/>
                <w:sz w:val="28"/>
                <w:szCs w:val="28"/>
              </w:rPr>
              <w:t>2022年底前，扩建完成银川市消防救援支队装备物资储备库和战勤保障车辆库。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0" w:hRule="exact"/>
          <w:jc w:val="center"/>
        </w:trPr>
        <w:tc>
          <w:tcPr>
            <w:tcW w:w="1218" w:type="dxa"/>
            <w:vMerge w:val="continue"/>
            <w:vAlign w:val="center"/>
          </w:tcPr>
          <w:p>
            <w:pPr>
              <w:adjustRightInd w:val="0"/>
              <w:snapToGrid w:val="0"/>
              <w:spacing w:line="500" w:lineRule="exact"/>
              <w:jc w:val="center"/>
              <w:rPr>
                <w:color w:val="000000"/>
                <w:sz w:val="28"/>
                <w:szCs w:val="28"/>
              </w:rPr>
            </w:pPr>
          </w:p>
        </w:tc>
        <w:tc>
          <w:tcPr>
            <w:tcW w:w="8021" w:type="dxa"/>
            <w:tcBorders>
              <w:top w:val="single" w:color="auto" w:sz="4" w:space="0"/>
            </w:tcBorders>
            <w:vAlign w:val="center"/>
          </w:tcPr>
          <w:p>
            <w:pPr>
              <w:adjustRightInd w:val="0"/>
              <w:snapToGrid w:val="0"/>
              <w:spacing w:line="500" w:lineRule="exact"/>
              <w:rPr>
                <w:color w:val="000000"/>
                <w:sz w:val="28"/>
                <w:szCs w:val="28"/>
              </w:rPr>
            </w:pPr>
            <w:r>
              <w:rPr>
                <w:rFonts w:hint="eastAsia"/>
                <w:color w:val="000000"/>
                <w:sz w:val="28"/>
                <w:szCs w:val="28"/>
              </w:rPr>
              <w:t>2024年底前，银川市救援支队应急装备储备库辐射周边市县。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0" w:hRule="exact"/>
          <w:jc w:val="center"/>
        </w:trPr>
        <w:tc>
          <w:tcPr>
            <w:tcW w:w="1218" w:type="dxa"/>
            <w:vAlign w:val="center"/>
          </w:tcPr>
          <w:p>
            <w:pPr>
              <w:widowControl/>
              <w:adjustRightInd w:val="0"/>
              <w:snapToGrid w:val="0"/>
              <w:spacing w:line="500" w:lineRule="exact"/>
              <w:jc w:val="center"/>
              <w:rPr>
                <w:color w:val="000000"/>
                <w:sz w:val="28"/>
                <w:szCs w:val="28"/>
              </w:rPr>
            </w:pPr>
            <w:r>
              <w:rPr>
                <w:rFonts w:hint="eastAsia"/>
                <w:color w:val="000000"/>
                <w:sz w:val="28"/>
                <w:szCs w:val="28"/>
              </w:rPr>
              <w:t>加大应急装备物资储备力度</w:t>
            </w:r>
          </w:p>
        </w:tc>
        <w:tc>
          <w:tcPr>
            <w:tcW w:w="8021" w:type="dxa"/>
            <w:tcBorders>
              <w:top w:val="single" w:color="auto" w:sz="4" w:space="0"/>
            </w:tcBorders>
            <w:vAlign w:val="center"/>
          </w:tcPr>
          <w:p>
            <w:pPr>
              <w:widowControl/>
              <w:adjustRightInd w:val="0"/>
              <w:snapToGrid w:val="0"/>
              <w:spacing w:line="500" w:lineRule="exact"/>
              <w:rPr>
                <w:color w:val="000000"/>
                <w:sz w:val="28"/>
                <w:szCs w:val="28"/>
              </w:rPr>
            </w:pPr>
            <w:r>
              <w:rPr>
                <w:rFonts w:hint="eastAsia"/>
                <w:color w:val="000000"/>
                <w:sz w:val="28"/>
                <w:szCs w:val="28"/>
              </w:rPr>
              <w:t>2021年底前，根据新职能、新任务、新编制，参照现行标准、救援体系、力量编成、等级调派、作战预案，结合历次重大灭火救援中应急装备物资的调运频次、出库峰值、实战效能，编制应急装备物资评估论证报告。针对灾害类型和任务特点，按照基本物资装备齐装满配、特殊装备物资按需选配的原则，分级分类制定应急战勤保障装备物资年度储备标准。防护装备以及消耗性救援器材等储备物资满足本地区同时发生2次较大灾害的储备要求。银川市消防救援支队储备水成膜泡沫（AFFF）灭火剂不低于500吨，其他支队不低于200吨；各市消防救援支队根据实际需要存储其他种类泡沫。</w:t>
            </w:r>
          </w:p>
        </w:tc>
      </w:tr>
      <w:bookmarkEnd w:id="170"/>
      <w:bookmarkEnd w:id="171"/>
      <w:bookmarkEnd w:id="172"/>
      <w:bookmarkEnd w:id="173"/>
      <w:bookmarkEnd w:id="174"/>
      <w:bookmarkEnd w:id="175"/>
      <w:bookmarkEnd w:id="176"/>
      <w:bookmarkEnd w:id="177"/>
      <w:bookmarkEnd w:id="178"/>
    </w:tbl>
    <w:p>
      <w:pPr>
        <w:pStyle w:val="4"/>
        <w:rPr>
          <w:color w:val="000000" w:themeColor="text1"/>
          <w14:textFill>
            <w14:solidFill>
              <w14:schemeClr w14:val="tx1"/>
            </w14:solidFill>
          </w14:textFill>
        </w:rPr>
      </w:pPr>
      <w:bookmarkStart w:id="179" w:name="_Toc18918"/>
      <w:r>
        <w:rPr>
          <w:rFonts w:hint="eastAsia"/>
          <w:color w:val="000000" w:themeColor="text1"/>
          <w14:textFill>
            <w14:solidFill>
              <w14:schemeClr w14:val="tx1"/>
            </w14:solidFill>
          </w14:textFill>
        </w:rPr>
        <w:t>（十一）战时通信保障工程</w:t>
      </w:r>
      <w:bookmarkEnd w:id="160"/>
      <w:bookmarkEnd w:id="161"/>
      <w:bookmarkEnd w:id="162"/>
      <w:bookmarkEnd w:id="163"/>
      <w:bookmarkEnd w:id="164"/>
      <w:bookmarkEnd w:id="165"/>
      <w:bookmarkEnd w:id="166"/>
      <w:bookmarkEnd w:id="167"/>
      <w:bookmarkEnd w:id="168"/>
      <w:bookmarkEnd w:id="179"/>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建设空天地一体化通信网、指挥网，配齐配强智能化、轻型化、集成化、模块化关键通信装备，打造高效畅通、稳定可靠的现场指挥应急通信系统。</w:t>
      </w:r>
    </w:p>
    <w:p>
      <w:pPr>
        <w:pStyle w:val="2"/>
      </w:pPr>
    </w:p>
    <w:tbl>
      <w:tblPr>
        <w:tblStyle w:val="15"/>
        <w:tblW w:w="906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842"/>
        <w:gridCol w:w="722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9067" w:type="dxa"/>
            <w:gridSpan w:val="2"/>
            <w:noWrap/>
            <w:vAlign w:val="center"/>
          </w:tcPr>
          <w:p>
            <w:pPr>
              <w:adjustRightInd w:val="0"/>
              <w:snapToGrid w:val="0"/>
              <w:spacing w:line="500" w:lineRule="exact"/>
              <w:ind w:firstLine="641"/>
              <w:jc w:val="center"/>
              <w:rPr>
                <w:color w:val="000000"/>
              </w:rPr>
            </w:pPr>
            <w:bookmarkStart w:id="180" w:name="_Toc19906"/>
            <w:bookmarkStart w:id="181" w:name="_Toc72338319"/>
            <w:bookmarkStart w:id="182" w:name="_Toc18582"/>
            <w:bookmarkStart w:id="183" w:name="_Toc4964"/>
            <w:bookmarkStart w:id="184" w:name="_Toc72607750"/>
            <w:bookmarkStart w:id="185" w:name="_Toc17940"/>
            <w:bookmarkStart w:id="186" w:name="_Toc14754"/>
            <w:bookmarkStart w:id="187" w:name="_Toc133"/>
            <w:bookmarkStart w:id="188" w:name="_Toc72572916"/>
            <w:r>
              <w:rPr>
                <w:rFonts w:hint="eastAsia" w:asciiTheme="minorEastAsia" w:hAnsiTheme="minorEastAsia" w:cstheme="minorEastAsia"/>
                <w:color w:val="000000" w:themeColor="text1"/>
                <w:sz w:val="28"/>
                <w:szCs w:val="28"/>
                <w14:textFill>
                  <w14:solidFill>
                    <w14:schemeClr w14:val="tx1"/>
                  </w14:solidFill>
                </w14:textFill>
              </w:rPr>
              <w:t>专栏13：通信战时保障任务清单</w:t>
            </w:r>
            <w:bookmarkEnd w:id="180"/>
            <w:bookmarkEnd w:id="181"/>
            <w:bookmarkEnd w:id="182"/>
            <w:bookmarkEnd w:id="183"/>
            <w:bookmarkEnd w:id="184"/>
            <w:bookmarkEnd w:id="185"/>
            <w:bookmarkEnd w:id="186"/>
            <w:bookmarkEnd w:id="187"/>
            <w:bookmarkEnd w:id="188"/>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1842" w:type="dxa"/>
            <w:noWrap/>
            <w:vAlign w:val="center"/>
          </w:tcPr>
          <w:p>
            <w:pPr>
              <w:widowControl/>
              <w:adjustRightInd w:val="0"/>
              <w:snapToGrid w:val="0"/>
              <w:spacing w:line="500" w:lineRule="exact"/>
              <w:jc w:val="center"/>
              <w:rPr>
                <w:color w:val="000000"/>
                <w:sz w:val="28"/>
                <w:szCs w:val="28"/>
              </w:rPr>
            </w:pPr>
            <w:r>
              <w:rPr>
                <w:color w:val="000000"/>
                <w:sz w:val="28"/>
                <w:szCs w:val="28"/>
              </w:rPr>
              <w:t>202</w:t>
            </w:r>
            <w:r>
              <w:rPr>
                <w:rFonts w:hint="eastAsia"/>
                <w:color w:val="000000"/>
                <w:sz w:val="28"/>
                <w:szCs w:val="28"/>
              </w:rPr>
              <w:t>2年</w:t>
            </w:r>
          </w:p>
        </w:tc>
        <w:tc>
          <w:tcPr>
            <w:tcW w:w="7225" w:type="dxa"/>
            <w:noWrap/>
            <w:vAlign w:val="center"/>
          </w:tcPr>
          <w:p>
            <w:pPr>
              <w:adjustRightInd w:val="0"/>
              <w:snapToGrid w:val="0"/>
              <w:spacing w:line="500" w:lineRule="exact"/>
              <w:rPr>
                <w:color w:val="000000"/>
                <w:sz w:val="28"/>
                <w:szCs w:val="28"/>
              </w:rPr>
            </w:pPr>
            <w:r>
              <w:rPr>
                <w:rFonts w:hint="eastAsia"/>
                <w:color w:val="000000"/>
                <w:sz w:val="28"/>
                <w:szCs w:val="28"/>
              </w:rPr>
              <w:t>市消防救援支队推进</w:t>
            </w:r>
            <w:r>
              <w:rPr>
                <w:color w:val="000000"/>
                <w:sz w:val="28"/>
                <w:szCs w:val="28"/>
              </w:rPr>
              <w:t>“</w:t>
            </w:r>
            <w:r>
              <w:rPr>
                <w:rFonts w:hint="eastAsia"/>
                <w:color w:val="000000"/>
                <w:sz w:val="28"/>
                <w:szCs w:val="28"/>
              </w:rPr>
              <w:t>轻骑兵</w:t>
            </w:r>
            <w:r>
              <w:rPr>
                <w:color w:val="000000"/>
                <w:sz w:val="28"/>
                <w:szCs w:val="28"/>
              </w:rPr>
              <w:t>”</w:t>
            </w:r>
            <w:r>
              <w:rPr>
                <w:rFonts w:hint="eastAsia"/>
                <w:color w:val="000000"/>
                <w:sz w:val="28"/>
                <w:szCs w:val="28"/>
              </w:rPr>
              <w:t>前突通信小队、志愿消防速报员等机动力量建设，配备适用通信装备。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842" w:type="dxa"/>
            <w:noWrap/>
            <w:vAlign w:val="center"/>
          </w:tcPr>
          <w:p>
            <w:pPr>
              <w:widowControl/>
              <w:adjustRightInd w:val="0"/>
              <w:snapToGrid w:val="0"/>
              <w:spacing w:line="500" w:lineRule="exact"/>
              <w:jc w:val="center"/>
              <w:rPr>
                <w:color w:val="000000"/>
                <w:sz w:val="28"/>
                <w:szCs w:val="28"/>
              </w:rPr>
            </w:pPr>
            <w:r>
              <w:rPr>
                <w:color w:val="000000"/>
                <w:sz w:val="28"/>
                <w:szCs w:val="28"/>
              </w:rPr>
              <w:t>2022</w:t>
            </w:r>
            <w:r>
              <w:rPr>
                <w:rFonts w:hint="eastAsia"/>
                <w:color w:val="000000"/>
                <w:sz w:val="28"/>
                <w:szCs w:val="28"/>
              </w:rPr>
              <w:t>-2023年</w:t>
            </w:r>
          </w:p>
        </w:tc>
        <w:tc>
          <w:tcPr>
            <w:tcW w:w="7225" w:type="dxa"/>
            <w:noWrap/>
            <w:vAlign w:val="center"/>
          </w:tcPr>
          <w:p>
            <w:pPr>
              <w:adjustRightInd w:val="0"/>
              <w:snapToGrid w:val="0"/>
              <w:spacing w:line="500" w:lineRule="exact"/>
              <w:rPr>
                <w:color w:val="000000"/>
                <w:sz w:val="28"/>
                <w:szCs w:val="28"/>
              </w:rPr>
            </w:pPr>
            <w:r>
              <w:rPr>
                <w:rFonts w:hint="eastAsia"/>
                <w:color w:val="000000"/>
                <w:sz w:val="28"/>
                <w:szCs w:val="28"/>
              </w:rPr>
              <w:t>建设完成融合通信、聚合通信系统，各市消防救援支队关键通信装备配备到位，打造高效畅通、稳定可靠的现场指挥应急通信系统。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61" w:hRule="atLeast"/>
          <w:jc w:val="center"/>
        </w:trPr>
        <w:tc>
          <w:tcPr>
            <w:tcW w:w="1842" w:type="dxa"/>
            <w:noWrap/>
            <w:vAlign w:val="center"/>
          </w:tcPr>
          <w:p>
            <w:pPr>
              <w:widowControl/>
              <w:adjustRightInd w:val="0"/>
              <w:snapToGrid w:val="0"/>
              <w:spacing w:line="500" w:lineRule="exact"/>
              <w:jc w:val="center"/>
              <w:rPr>
                <w:color w:val="000000"/>
                <w:sz w:val="28"/>
                <w:szCs w:val="28"/>
              </w:rPr>
            </w:pPr>
            <w:r>
              <w:rPr>
                <w:color w:val="000000"/>
                <w:sz w:val="28"/>
                <w:szCs w:val="28"/>
              </w:rPr>
              <w:t>202</w:t>
            </w:r>
            <w:r>
              <w:rPr>
                <w:rFonts w:hint="eastAsia"/>
                <w:color w:val="000000"/>
                <w:sz w:val="28"/>
                <w:szCs w:val="28"/>
              </w:rPr>
              <w:t>4-2025年</w:t>
            </w:r>
          </w:p>
        </w:tc>
        <w:tc>
          <w:tcPr>
            <w:tcW w:w="7225" w:type="dxa"/>
            <w:noWrap/>
            <w:vAlign w:val="center"/>
          </w:tcPr>
          <w:p>
            <w:pPr>
              <w:adjustRightInd w:val="0"/>
              <w:snapToGrid w:val="0"/>
              <w:spacing w:line="500" w:lineRule="exact"/>
              <w:rPr>
                <w:color w:val="000000"/>
                <w:sz w:val="28"/>
                <w:szCs w:val="28"/>
              </w:rPr>
            </w:pPr>
            <w:r>
              <w:rPr>
                <w:rFonts w:hint="eastAsia"/>
                <w:color w:val="000000"/>
                <w:sz w:val="28"/>
                <w:szCs w:val="28"/>
              </w:rPr>
              <w:t>加快推进新装备、新技术、新战法建设应用，满足特殊灾害现场实时通信需要。</w:t>
            </w:r>
          </w:p>
        </w:tc>
      </w:tr>
    </w:tbl>
    <w:p>
      <w:pPr>
        <w:pStyle w:val="4"/>
        <w:rPr>
          <w:color w:val="000000" w:themeColor="text1"/>
          <w14:textFill>
            <w14:solidFill>
              <w14:schemeClr w14:val="tx1"/>
            </w14:solidFill>
          </w14:textFill>
        </w:rPr>
      </w:pPr>
      <w:bookmarkStart w:id="189" w:name="_Toc28744"/>
      <w:bookmarkStart w:id="190" w:name="_Toc72607751"/>
      <w:bookmarkStart w:id="191" w:name="_Toc2633"/>
      <w:bookmarkStart w:id="192" w:name="_Toc20716"/>
      <w:bookmarkStart w:id="193" w:name="_Toc30666"/>
      <w:bookmarkStart w:id="194" w:name="_Toc2639"/>
      <w:bookmarkStart w:id="195" w:name="_Toc24953"/>
      <w:bookmarkStart w:id="196" w:name="_Toc30505"/>
      <w:bookmarkStart w:id="197" w:name="_Toc17409"/>
      <w:bookmarkStart w:id="198" w:name="_Toc12961"/>
      <w:r>
        <w:rPr>
          <w:rFonts w:hint="eastAsia"/>
          <w:color w:val="000000" w:themeColor="text1"/>
          <w14:textFill>
            <w14:solidFill>
              <w14:schemeClr w14:val="tx1"/>
            </w14:solidFill>
          </w14:textFill>
        </w:rPr>
        <w:t>（十二）数字消防工程</w:t>
      </w:r>
      <w:bookmarkEnd w:id="189"/>
      <w:bookmarkEnd w:id="190"/>
      <w:bookmarkEnd w:id="191"/>
      <w:bookmarkEnd w:id="192"/>
      <w:bookmarkEnd w:id="193"/>
      <w:bookmarkEnd w:id="194"/>
      <w:bookmarkEnd w:id="195"/>
      <w:bookmarkEnd w:id="196"/>
      <w:bookmarkEnd w:id="197"/>
      <w:bookmarkEnd w:id="198"/>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将消防大数据建设应用纳入电子政务服务、智慧城市建设、“互联网+监管”以及城市信息化大数据建设等内容，深化消防大数据的汇聚共享、关联分析和创新应用。</w:t>
      </w:r>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1"/>
        <w:gridCol w:w="7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jc w:val="center"/>
        </w:trPr>
        <w:tc>
          <w:tcPr>
            <w:tcW w:w="5000" w:type="pct"/>
            <w:gridSpan w:val="2"/>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专栏14：数字消防工程目标任务清单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9" w:hRule="atLeast"/>
          <w:jc w:val="center"/>
        </w:trPr>
        <w:tc>
          <w:tcPr>
            <w:tcW w:w="900"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2021年</w:t>
            </w:r>
          </w:p>
        </w:tc>
        <w:tc>
          <w:tcPr>
            <w:tcW w:w="4099"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完成全市智能接处警系统、智能指挥系统和消防一张图建设。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2" w:hRule="atLeast"/>
          <w:jc w:val="center"/>
        </w:trPr>
        <w:tc>
          <w:tcPr>
            <w:tcW w:w="900"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2022年</w:t>
            </w:r>
          </w:p>
        </w:tc>
        <w:tc>
          <w:tcPr>
            <w:tcW w:w="4099"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力争建成城市消防大数据库，建成火灾监测预警预报平台，实现对火灾高风险场所、高风险区域的动态监测、风险评估、智能分析和精准治理。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900"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2022年</w:t>
            </w:r>
          </w:p>
        </w:tc>
        <w:tc>
          <w:tcPr>
            <w:tcW w:w="4099"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完成消防指挥调度网至应急指挥信息骨干网的整体接入。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atLeast"/>
          <w:jc w:val="center"/>
        </w:trPr>
        <w:tc>
          <w:tcPr>
            <w:tcW w:w="900"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2022年</w:t>
            </w:r>
          </w:p>
        </w:tc>
        <w:tc>
          <w:tcPr>
            <w:tcW w:w="4099"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完成多种形式消防队伍调度系统和消防信息化智能运维系统建设。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6" w:hRule="atLeast"/>
          <w:jc w:val="center"/>
        </w:trPr>
        <w:tc>
          <w:tcPr>
            <w:tcW w:w="900"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2023年</w:t>
            </w:r>
          </w:p>
        </w:tc>
        <w:tc>
          <w:tcPr>
            <w:tcW w:w="4099"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完成消防信息化安全防护系统建设，统筹建设数据治理系统和消防共享中心，将智慧消防系统资源融入“智慧城市”建设，实现消防救援部门与相关部门、单位的业务协同和数据共享。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0" w:hRule="atLeast"/>
          <w:jc w:val="center"/>
        </w:trPr>
        <w:tc>
          <w:tcPr>
            <w:tcW w:w="900" w:type="pct"/>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p>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2025年</w:t>
            </w:r>
          </w:p>
        </w:tc>
        <w:tc>
          <w:tcPr>
            <w:tcW w:w="4099"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中心城区全部建成消防物联网监控系统，火灾高危单位和高层公共建筑接入“智慧消防”物联网远程监控系统。</w:t>
            </w:r>
          </w:p>
        </w:tc>
      </w:tr>
    </w:tbl>
    <w:p>
      <w:pPr>
        <w:rPr>
          <w:color w:val="000000" w:themeColor="text1"/>
          <w14:textFill>
            <w14:solidFill>
              <w14:schemeClr w14:val="tx1"/>
            </w14:solidFill>
          </w14:textFill>
        </w:rPr>
      </w:pPr>
    </w:p>
    <w:p>
      <w:pPr>
        <w:pStyle w:val="4"/>
        <w:rPr>
          <w:color w:val="000000" w:themeColor="text1"/>
          <w14:textFill>
            <w14:solidFill>
              <w14:schemeClr w14:val="tx1"/>
            </w14:solidFill>
          </w14:textFill>
        </w:rPr>
      </w:pPr>
      <w:bookmarkStart w:id="199" w:name="_Toc6937"/>
      <w:r>
        <w:rPr>
          <w:rFonts w:hint="eastAsia"/>
          <w:color w:val="000000" w:themeColor="text1"/>
          <w14:textFill>
            <w14:solidFill>
              <w14:schemeClr w14:val="tx1"/>
            </w14:solidFill>
          </w14:textFill>
        </w:rPr>
        <w:t>（十三）物联网监控系统工程</w:t>
      </w:r>
      <w:bookmarkEnd w:id="199"/>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督促设有自动消防设施的消防安全重点单位、高层建筑、人员密集场所、文物古建筑、易燃易爆场所、消防技术服务机构等与各地消防物联网远程监控中心进行联网。</w:t>
      </w:r>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95"/>
        <w:gridCol w:w="2281"/>
        <w:gridCol w:w="23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exact"/>
          <w:jc w:val="center"/>
        </w:trPr>
        <w:tc>
          <w:tcPr>
            <w:tcW w:w="5000" w:type="pct"/>
            <w:gridSpan w:val="3"/>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专栏13：物联网监控系统工程任务清单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exact"/>
          <w:jc w:val="center"/>
        </w:trPr>
        <w:tc>
          <w:tcPr>
            <w:tcW w:w="2465"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建设内容</w:t>
            </w:r>
          </w:p>
        </w:tc>
        <w:tc>
          <w:tcPr>
            <w:tcW w:w="1251"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建设资金（万）</w:t>
            </w:r>
          </w:p>
        </w:tc>
        <w:tc>
          <w:tcPr>
            <w:tcW w:w="1282"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资金来源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5" w:hRule="exact"/>
          <w:jc w:val="center"/>
        </w:trPr>
        <w:tc>
          <w:tcPr>
            <w:tcW w:w="2465"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力争到2023年，所有重点单位和设有自动消防设施的其他单位全部接入监控平台。</w:t>
            </w:r>
          </w:p>
        </w:tc>
        <w:tc>
          <w:tcPr>
            <w:tcW w:w="1251" w:type="pct"/>
            <w:vAlign w:val="center"/>
          </w:tcPr>
          <w:p>
            <w:pPr>
              <w:widowControl/>
              <w:spacing w:line="400" w:lineRule="exact"/>
              <w:jc w:val="center"/>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3900</w:t>
            </w:r>
          </w:p>
        </w:tc>
        <w:tc>
          <w:tcPr>
            <w:tcW w:w="1282" w:type="pct"/>
            <w:vAlign w:val="center"/>
          </w:tcPr>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市、县（市）财政</w:t>
            </w:r>
          </w:p>
          <w:p>
            <w:pPr>
              <w:widowControl/>
              <w:spacing w:line="400" w:lineRule="exact"/>
              <w:jc w:val="left"/>
              <w:rPr>
                <w:rFonts w:asciiTheme="minorEastAsia" w:hAnsiTheme="minorEastAsia" w:cstheme="minorEastAsia"/>
                <w:color w:val="000000" w:themeColor="text1"/>
                <w:sz w:val="28"/>
                <w:szCs w:val="28"/>
                <w14:textFill>
                  <w14:solidFill>
                    <w14:schemeClr w14:val="tx1"/>
                  </w14:solidFill>
                </w14:textFill>
              </w:rPr>
            </w:pPr>
          </w:p>
        </w:tc>
      </w:tr>
    </w:tbl>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3"/>
        <w:snapToGrid w:val="0"/>
        <w:spacing w:before="0" w:after="0" w:line="620" w:lineRule="exact"/>
        <w:jc w:val="center"/>
        <w:rPr>
          <w:rFonts w:ascii="方正小标宋_GBK" w:hAnsi="Calibri" w:eastAsia="方正小标宋_GBK"/>
          <w:b w:val="0"/>
          <w:color w:val="000000" w:themeColor="text1"/>
          <w:sz w:val="36"/>
          <w:szCs w:val="36"/>
          <w14:textFill>
            <w14:solidFill>
              <w14:schemeClr w14:val="tx1"/>
            </w14:solidFill>
          </w14:textFill>
        </w:rPr>
      </w:pPr>
      <w:bookmarkStart w:id="200" w:name="_Toc4464"/>
      <w:r>
        <w:rPr>
          <w:rFonts w:hint="eastAsia" w:ascii="方正小标宋_GBK" w:hAnsi="Calibri" w:eastAsia="方正小标宋_GBK"/>
          <w:b w:val="0"/>
          <w:color w:val="000000" w:themeColor="text1"/>
          <w:sz w:val="36"/>
          <w:szCs w:val="36"/>
          <w14:textFill>
            <w14:solidFill>
              <w14:schemeClr w14:val="tx1"/>
            </w14:solidFill>
          </w14:textFill>
        </w:rPr>
        <w:t>第十章   保障措施</w:t>
      </w:r>
      <w:bookmarkEnd w:id="200"/>
    </w:p>
    <w:p>
      <w:pPr>
        <w:pStyle w:val="4"/>
        <w:rPr>
          <w:color w:val="000000" w:themeColor="text1"/>
          <w14:textFill>
            <w14:solidFill>
              <w14:schemeClr w14:val="tx1"/>
            </w14:solidFill>
          </w14:textFill>
        </w:rPr>
      </w:pPr>
      <w:bookmarkStart w:id="201" w:name="_Toc6149"/>
      <w:bookmarkStart w:id="202" w:name="_Toc19389"/>
      <w:r>
        <w:rPr>
          <w:rFonts w:hint="eastAsia"/>
          <w:color w:val="000000" w:themeColor="text1"/>
          <w14:textFill>
            <w14:solidFill>
              <w14:schemeClr w14:val="tx1"/>
            </w14:solidFill>
          </w14:textFill>
        </w:rPr>
        <w:t>（一）坚持政府主导，强化责任落实</w:t>
      </w:r>
      <w:bookmarkEnd w:id="201"/>
      <w:bookmarkEnd w:id="202"/>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消防工作是经济和社会发展的重要组成部件，各级政府要加强消防工作的领导，统筹抓好“十四五”消防规划任务的落实。各级、各部门要依法落实消防工作责任，落实“十四五”时期消防工作任务。各级消防安全委员会要充分发挥督导作用，加强消防工作的组织协调，推动规划任务落实。要健全规划实施报告制度和责任追究制度，切实将专项规划的实施情况纳入政府政绩综合考评体系，督促落实工作责任制。</w:t>
      </w:r>
    </w:p>
    <w:p>
      <w:pPr>
        <w:pStyle w:val="4"/>
        <w:rPr>
          <w:color w:val="000000" w:themeColor="text1"/>
          <w14:textFill>
            <w14:solidFill>
              <w14:schemeClr w14:val="tx1"/>
            </w14:solidFill>
          </w14:textFill>
        </w:rPr>
      </w:pPr>
      <w:bookmarkStart w:id="203" w:name="_Toc29559"/>
      <w:bookmarkStart w:id="204" w:name="_Toc23471"/>
      <w:r>
        <w:rPr>
          <w:rFonts w:hint="eastAsia"/>
          <w:color w:val="000000" w:themeColor="text1"/>
          <w14:textFill>
            <w14:solidFill>
              <w14:schemeClr w14:val="tx1"/>
            </w14:solidFill>
          </w14:textFill>
        </w:rPr>
        <w:t>（二）加大政策扶持，科学统筹实施</w:t>
      </w:r>
      <w:bookmarkEnd w:id="203"/>
      <w:bookmarkEnd w:id="204"/>
    </w:p>
    <w:p>
      <w:pPr>
        <w:snapToGrid w:val="0"/>
        <w:spacing w:line="620" w:lineRule="exact"/>
        <w:ind w:firstLine="640" w:firstLineChars="20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要积极推动发展改革、财政等部门将重大工程纳入有关专项规划，推动规划目标一致、任务统一、工程统筹、政策配套。推动自然资源部门与国土空间总体规划的衔接，将消防安全布局纳入国土空间总体规划，公共消防设施等建设实施差别化用地政策，优先保障消防用地。</w:t>
      </w:r>
    </w:p>
    <w:p>
      <w:pPr>
        <w:pStyle w:val="4"/>
        <w:rPr>
          <w:color w:val="000000" w:themeColor="text1"/>
          <w14:textFill>
            <w14:solidFill>
              <w14:schemeClr w14:val="tx1"/>
            </w14:solidFill>
          </w14:textFill>
        </w:rPr>
      </w:pPr>
      <w:bookmarkStart w:id="205" w:name="_Toc18087"/>
      <w:bookmarkStart w:id="206" w:name="_Toc3554"/>
      <w:r>
        <w:rPr>
          <w:rFonts w:hint="eastAsia"/>
          <w:color w:val="000000" w:themeColor="text1"/>
          <w14:textFill>
            <w14:solidFill>
              <w14:schemeClr w14:val="tx1"/>
            </w14:solidFill>
          </w14:textFill>
        </w:rPr>
        <w:t>（三）健全实施机制，实行跟踪问效</w:t>
      </w:r>
      <w:bookmarkEnd w:id="205"/>
      <w:bookmarkEnd w:id="206"/>
    </w:p>
    <w:p>
      <w:pPr>
        <w:spacing w:line="540" w:lineRule="exact"/>
        <w:ind w:firstLine="64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各级政府要分解落实规划明确的目标、任务和重点项目，制定年度实施计划和细则，建立完善规划实施考核机制，保障规划分布有效实施。各县（区）要建立规划实施的考评和监督制度，定期对规划实施情况进行考评分析，实施跟踪问效。</w:t>
      </w:r>
    </w:p>
    <w:p>
      <w:pPr>
        <w:pStyle w:val="4"/>
        <w:rPr>
          <w:color w:val="000000" w:themeColor="text1"/>
          <w14:textFill>
            <w14:solidFill>
              <w14:schemeClr w14:val="tx1"/>
            </w14:solidFill>
          </w14:textFill>
        </w:rPr>
      </w:pPr>
      <w:bookmarkStart w:id="207" w:name="_Toc13669"/>
      <w:bookmarkStart w:id="208" w:name="_Toc32754"/>
      <w:r>
        <w:rPr>
          <w:rFonts w:hint="eastAsia"/>
          <w:color w:val="000000" w:themeColor="text1"/>
          <w14:textFill>
            <w14:solidFill>
              <w14:schemeClr w14:val="tx1"/>
            </w14:solidFill>
          </w14:textFill>
        </w:rPr>
        <w:t>（四）广泛宣传发动，营造实施氛围</w:t>
      </w:r>
      <w:bookmarkEnd w:id="207"/>
      <w:bookmarkEnd w:id="208"/>
    </w:p>
    <w:p>
      <w:pPr>
        <w:spacing w:line="540" w:lineRule="exact"/>
        <w:ind w:firstLine="640"/>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各级、各部门要深入学习宣传消防事业“十四五”发展规划，理解掌握规划的指导思想、发展原则、发展目标和主要任务、重点项目及相关要求，领会规划精神和消防事业发展方向，明确工作责任。要开展形式多样的宣传，形成全社会学习贯彻消防事业发展“十四五”规划的良好氛围，完善“政府统一领导、部门依法监管、单位全面负责、公民积极参与”的消防工作格局。</w:t>
      </w:r>
    </w:p>
    <w:p>
      <w:pPr>
        <w:pStyle w:val="7"/>
        <w:rPr>
          <w:rFonts w:ascii="仿宋_GB2312" w:hAnsi="宋体" w:eastAsia="仿宋_GB2312" w:cs="仿宋_GB2312"/>
          <w:color w:val="000000" w:themeColor="text1"/>
          <w:sz w:val="32"/>
          <w:szCs w:val="32"/>
          <w14:textFill>
            <w14:solidFill>
              <w14:schemeClr w14:val="tx1"/>
            </w14:solidFill>
          </w14:textFill>
        </w:rPr>
      </w:pPr>
    </w:p>
    <w:p>
      <w:pPr>
        <w:rPr>
          <w:rFonts w:ascii="仿宋_GB2312" w:hAnsi="宋体" w:eastAsia="仿宋_GB2312" w:cs="仿宋_GB2312"/>
          <w:color w:val="000000" w:themeColor="text1"/>
          <w:sz w:val="32"/>
          <w:szCs w:val="32"/>
          <w14:textFill>
            <w14:solidFill>
              <w14:schemeClr w14:val="tx1"/>
            </w14:solidFill>
          </w14:textFill>
        </w:rPr>
      </w:pPr>
    </w:p>
    <w:p>
      <w:pPr>
        <w:pStyle w:val="7"/>
      </w:pPr>
    </w:p>
    <w:p>
      <w:pPr>
        <w:spacing w:line="540" w:lineRule="exact"/>
        <w:ind w:firstLine="640"/>
        <w:rPr>
          <w:rFonts w:eastAsia="仿宋"/>
          <w:color w:val="000000" w:themeColor="text1"/>
          <w:sz w:val="32"/>
          <w:szCs w:val="32"/>
          <w14:textFill>
            <w14:solidFill>
              <w14:schemeClr w14:val="tx1"/>
            </w14:solidFill>
          </w14:textFill>
        </w:rPr>
      </w:pPr>
    </w:p>
    <w:p>
      <w:pPr>
        <w:spacing w:line="540" w:lineRule="exact"/>
        <w:rPr>
          <w:rFonts w:ascii="仿宋_GB2312" w:hAnsi="宋体" w:eastAsia="仿宋_GB2312" w:cs="仿宋_GB2312"/>
          <w:color w:val="000000" w:themeColor="text1"/>
          <w:sz w:val="32"/>
          <w:szCs w:val="32"/>
          <w:lang w:val="zh-CN"/>
          <w14:textFill>
            <w14:solidFill>
              <w14:schemeClr w14:val="tx1"/>
            </w14:solidFill>
          </w14:textFill>
        </w:rPr>
      </w:pPr>
      <w:r>
        <w:rPr>
          <w:rFonts w:hint="eastAsia" w:ascii="仿宋_GB2312" w:hAnsi="宋体" w:eastAsia="仿宋_GB2312" w:cs="仿宋_GB2312"/>
          <w:color w:val="000000" w:themeColor="text1"/>
          <w:sz w:val="32"/>
          <w:szCs w:val="32"/>
          <w:lang w:val="zh-CN"/>
          <w14:textFill>
            <w14:solidFill>
              <w14:schemeClr w14:val="tx1"/>
            </w14:solidFill>
          </w14:textFill>
        </w:rPr>
        <w:t>附件：</w:t>
      </w:r>
    </w:p>
    <w:p>
      <w:pPr>
        <w:spacing w:line="540" w:lineRule="exac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附件一：</w:t>
      </w:r>
      <w:r>
        <w:fldChar w:fldCharType="begin"/>
      </w:r>
      <w:r>
        <w:instrText xml:space="preserve"> HYPERLINK "file:///C:\\Users\\Administrator\\AppData\\Local\\Microsoft\\Windows\\Temporary%20Internet%20Files\\Content.IE5\\BRLZLB4J\\宁夏回族自治区" </w:instrText>
      </w:r>
      <w:r>
        <w:fldChar w:fldCharType="separate"/>
      </w:r>
      <w:r>
        <w:rPr>
          <w:rFonts w:hint="eastAsia" w:ascii="仿宋_GB2312" w:hAnsi="宋体" w:eastAsia="仿宋_GB2312" w:cs="仿宋_GB2312"/>
          <w:color w:val="000000" w:themeColor="text1"/>
          <w:sz w:val="32"/>
          <w:szCs w:val="32"/>
          <w14:textFill>
            <w14:solidFill>
              <w14:schemeClr w14:val="tx1"/>
            </w14:solidFill>
          </w14:textFill>
        </w:rPr>
        <w:t>银川市“十四五”消防站建设规划表</w:t>
      </w:r>
      <w:r>
        <w:rPr>
          <w:rFonts w:hint="eastAsia" w:ascii="仿宋_GB2312" w:hAnsi="宋体" w:eastAsia="仿宋_GB2312" w:cs="仿宋_GB2312"/>
          <w:color w:val="000000" w:themeColor="text1"/>
          <w:sz w:val="32"/>
          <w:szCs w:val="32"/>
          <w14:textFill>
            <w14:solidFill>
              <w14:schemeClr w14:val="tx1"/>
            </w14:solidFill>
          </w14:textFill>
        </w:rPr>
        <w:fldChar w:fldCharType="end"/>
      </w:r>
    </w:p>
    <w:p>
      <w:pPr>
        <w:spacing w:line="540" w:lineRule="exact"/>
        <w:rPr>
          <w:color w:val="000000" w:themeColor="text1"/>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附件二：</w:t>
      </w:r>
      <w:r>
        <w:fldChar w:fldCharType="begin"/>
      </w:r>
      <w:r>
        <w:instrText xml:space="preserve"> HYPERLINK "file:///C:\\Users\\Administrator\\AppData\\Local\\Microsoft\\Windows\\Temporary%20Internet%20Files\\Content.IE5\\BRLZLB4J\\宁夏回族自治区" </w:instrText>
      </w:r>
      <w:r>
        <w:fldChar w:fldCharType="separate"/>
      </w:r>
      <w:r>
        <w:rPr>
          <w:rFonts w:hint="eastAsia" w:ascii="仿宋_GB2312" w:hAnsi="宋体" w:eastAsia="仿宋_GB2312" w:cs="仿宋_GB2312"/>
          <w:color w:val="000000" w:themeColor="text1"/>
          <w:sz w:val="32"/>
          <w:szCs w:val="32"/>
          <w14:textFill>
            <w14:solidFill>
              <w14:schemeClr w14:val="tx1"/>
            </w14:solidFill>
          </w14:textFill>
        </w:rPr>
        <w:t>银川市“十四五”消防站建设规划图</w:t>
      </w:r>
      <w:r>
        <w:rPr>
          <w:rFonts w:hint="eastAsia" w:ascii="仿宋_GB2312" w:hAnsi="宋体" w:eastAsia="仿宋_GB2312" w:cs="仿宋_GB2312"/>
          <w:color w:val="000000" w:themeColor="text1"/>
          <w:sz w:val="32"/>
          <w:szCs w:val="32"/>
          <w14:textFill>
            <w14:solidFill>
              <w14:schemeClr w14:val="tx1"/>
            </w14:solidFill>
          </w14:textFill>
        </w:rPr>
        <w:fldChar w:fldCharType="end"/>
      </w:r>
    </w:p>
    <w:p>
      <w:pPr>
        <w:spacing w:line="540" w:lineRule="exact"/>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附件三：</w:t>
      </w:r>
      <w:r>
        <w:fldChar w:fldCharType="begin"/>
      </w:r>
      <w:r>
        <w:instrText xml:space="preserve"> HYPERLINK \l "_Toc448829793" </w:instrText>
      </w:r>
      <w:r>
        <w:fldChar w:fldCharType="separate"/>
      </w:r>
      <w:r>
        <w:rPr>
          <w:rFonts w:hint="eastAsia" w:ascii="仿宋_GB2312" w:hAnsi="宋体" w:eastAsia="仿宋_GB2312" w:cs="仿宋_GB2312"/>
          <w:color w:val="000000" w:themeColor="text1"/>
          <w:sz w:val="32"/>
          <w:szCs w:val="32"/>
          <w14:textFill>
            <w14:solidFill>
              <w14:schemeClr w14:val="tx1"/>
            </w14:solidFill>
          </w14:textFill>
        </w:rPr>
        <w:t>银川市“十四五”政府专职</w:t>
      </w:r>
      <w:r>
        <w:rPr>
          <w:rFonts w:hint="eastAsia" w:ascii="仿宋_GB2312" w:hAnsi="宋体" w:eastAsia="仿宋_GB2312" w:cs="仿宋_GB2312"/>
          <w:color w:val="000000" w:themeColor="text1"/>
          <w:sz w:val="32"/>
          <w:szCs w:val="32"/>
          <w14:textFill>
            <w14:solidFill>
              <w14:schemeClr w14:val="tx1"/>
            </w14:solidFill>
          </w14:textFill>
        </w:rPr>
        <w:fldChar w:fldCharType="end"/>
      </w:r>
      <w:r>
        <w:fldChar w:fldCharType="begin"/>
      </w:r>
      <w:r>
        <w:instrText xml:space="preserve"> HYPERLINK \l "_Toc448829794" </w:instrText>
      </w:r>
      <w:r>
        <w:fldChar w:fldCharType="separate"/>
      </w:r>
      <w:r>
        <w:rPr>
          <w:rFonts w:hint="eastAsia" w:ascii="仿宋_GB2312" w:hAnsi="宋体" w:eastAsia="仿宋_GB2312" w:cs="仿宋_GB2312"/>
          <w:color w:val="000000" w:themeColor="text1"/>
          <w:sz w:val="32"/>
          <w:szCs w:val="32"/>
          <w14:textFill>
            <w14:solidFill>
              <w14:schemeClr w14:val="tx1"/>
            </w14:solidFill>
          </w14:textFill>
        </w:rPr>
        <w:t>消防队员、消防文员征召规划表</w:t>
      </w:r>
      <w:r>
        <w:rPr>
          <w:rFonts w:hint="eastAsia" w:ascii="仿宋_GB2312" w:hAnsi="宋体" w:eastAsia="仿宋_GB2312" w:cs="仿宋_GB2312"/>
          <w:color w:val="000000" w:themeColor="text1"/>
          <w:sz w:val="32"/>
          <w:szCs w:val="32"/>
          <w14:textFill>
            <w14:solidFill>
              <w14:schemeClr w14:val="tx1"/>
            </w14:solidFill>
          </w14:textFill>
        </w:rPr>
        <w:fldChar w:fldCharType="end"/>
      </w:r>
    </w:p>
    <w:p>
      <w:pPr>
        <w:spacing w:line="540" w:lineRule="exact"/>
        <w:rPr>
          <w:rFonts w:ascii="仿宋_GB2312" w:hAnsi="宋体" w:eastAsia="仿宋_GB2312" w:cs="仿宋_GB2312"/>
          <w:color w:val="000000" w:themeColor="text1"/>
          <w:sz w:val="32"/>
          <w:szCs w:val="32"/>
          <w:lang w:val="zh-CN"/>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附件四：银川市“十四五”消火栓规划表</w:t>
      </w:r>
    </w:p>
    <w:p>
      <w:pPr>
        <w:rPr>
          <w:rFonts w:eastAsia="仿宋_GB2312"/>
          <w:color w:val="000000" w:themeColor="text1"/>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附件五：银川市“十四五”消防救援队伍执勤车辆规划表</w:t>
      </w:r>
    </w:p>
    <w:p>
      <w:pPr>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附件六：银川市“十四五”消防救援队伍灭火器材建设规划表</w:t>
      </w:r>
    </w:p>
    <w:p>
      <w:pPr>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附件七：银川市火灾风险评估</w:t>
      </w:r>
    </w:p>
    <w:p>
      <w:pPr>
        <w:pStyle w:val="2"/>
        <w:rPr>
          <w:rFonts w:eastAsia="楷体_GB2312"/>
          <w:b/>
          <w:color w:val="000000" w:themeColor="text1"/>
          <w:sz w:val="32"/>
          <w:szCs w:val="32"/>
          <w14:textFill>
            <w14:solidFill>
              <w14:schemeClr w14:val="tx1"/>
            </w14:solidFill>
          </w14:textFill>
        </w:rPr>
      </w:pPr>
    </w:p>
    <w:p>
      <w:pPr>
        <w:jc w:val="center"/>
        <w:rPr>
          <w:b/>
          <w:bCs/>
          <w:color w:val="000000" w:themeColor="text1"/>
          <w:sz w:val="28"/>
          <w:szCs w:val="28"/>
          <w14:textFill>
            <w14:solidFill>
              <w14:schemeClr w14:val="tx1"/>
            </w14:solidFill>
          </w14:textFill>
        </w:rPr>
      </w:pPr>
      <w:r>
        <w:fldChar w:fldCharType="begin"/>
      </w:r>
      <w:r>
        <w:instrText xml:space="preserve"> HYPERLINK "file:///C:\\Users\\Administrator\\AppData\\Local\\Microsoft\\Windows\\Temporary%20Internet%20Files\\Content.IE5\\BRLZLB4J\\宁夏回族自治区" </w:instrText>
      </w:r>
      <w:r>
        <w:fldChar w:fldCharType="separate"/>
      </w:r>
      <w:r>
        <w:rPr>
          <w:rFonts w:hint="eastAsia"/>
          <w:b/>
          <w:bCs/>
          <w:color w:val="000000" w:themeColor="text1"/>
          <w:sz w:val="28"/>
          <w:szCs w:val="28"/>
          <w14:textFill>
            <w14:solidFill>
              <w14:schemeClr w14:val="tx1"/>
            </w14:solidFill>
          </w14:textFill>
        </w:rPr>
        <w:t>银川市“十四五”消防站建设规划表</w:t>
      </w:r>
      <w:r>
        <w:rPr>
          <w:rFonts w:hint="eastAsia"/>
          <w:b/>
          <w:bCs/>
          <w:color w:val="000000" w:themeColor="text1"/>
          <w:sz w:val="28"/>
          <w:szCs w:val="28"/>
          <w14:textFill>
            <w14:solidFill>
              <w14:schemeClr w14:val="tx1"/>
            </w14:solidFill>
          </w14:textFill>
        </w:rPr>
        <w:fldChar w:fldCharType="end"/>
      </w:r>
    </w:p>
    <w:tbl>
      <w:tblPr>
        <w:tblStyle w:val="15"/>
        <w:tblW w:w="5000" w:type="pct"/>
        <w:tblInd w:w="0" w:type="dxa"/>
        <w:tblLayout w:type="autofit"/>
        <w:tblCellMar>
          <w:top w:w="0" w:type="dxa"/>
          <w:left w:w="108" w:type="dxa"/>
          <w:bottom w:w="0" w:type="dxa"/>
          <w:right w:w="108" w:type="dxa"/>
        </w:tblCellMar>
      </w:tblPr>
      <w:tblGrid>
        <w:gridCol w:w="696"/>
        <w:gridCol w:w="485"/>
        <w:gridCol w:w="2213"/>
        <w:gridCol w:w="1163"/>
        <w:gridCol w:w="2769"/>
        <w:gridCol w:w="921"/>
        <w:gridCol w:w="871"/>
      </w:tblGrid>
      <w:tr>
        <w:tblPrEx>
          <w:tblCellMar>
            <w:top w:w="0" w:type="dxa"/>
            <w:left w:w="108" w:type="dxa"/>
            <w:bottom w:w="0" w:type="dxa"/>
            <w:right w:w="108" w:type="dxa"/>
          </w:tblCellMar>
        </w:tblPrEx>
        <w:trPr>
          <w:trHeight w:val="550" w:hRule="atLeast"/>
        </w:trPr>
        <w:tc>
          <w:tcPr>
            <w:tcW w:w="355" w:type="pct"/>
            <w:tcBorders>
              <w:top w:val="single" w:color="auto" w:sz="8" w:space="0"/>
              <w:left w:val="single" w:color="auto" w:sz="8" w:space="0"/>
              <w:bottom w:val="nil"/>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规划年度</w:t>
            </w:r>
          </w:p>
        </w:tc>
        <w:tc>
          <w:tcPr>
            <w:tcW w:w="270" w:type="pct"/>
            <w:tcBorders>
              <w:top w:val="single" w:color="auto" w:sz="8" w:space="0"/>
              <w:left w:val="nil"/>
              <w:bottom w:val="nil"/>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序号</w:t>
            </w:r>
          </w:p>
        </w:tc>
        <w:tc>
          <w:tcPr>
            <w:tcW w:w="1217" w:type="pct"/>
            <w:tcBorders>
              <w:top w:val="single" w:color="auto" w:sz="8" w:space="0"/>
              <w:left w:val="nil"/>
              <w:bottom w:val="nil"/>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名称</w:t>
            </w:r>
          </w:p>
        </w:tc>
        <w:tc>
          <w:tcPr>
            <w:tcW w:w="642" w:type="pct"/>
            <w:tcBorders>
              <w:top w:val="single" w:color="auto" w:sz="8" w:space="0"/>
              <w:left w:val="nil"/>
              <w:bottom w:val="nil"/>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消防站级别</w:t>
            </w:r>
          </w:p>
        </w:tc>
        <w:tc>
          <w:tcPr>
            <w:tcW w:w="1522" w:type="pct"/>
            <w:tcBorders>
              <w:top w:val="single" w:color="auto" w:sz="8" w:space="0"/>
              <w:left w:val="nil"/>
              <w:bottom w:val="nil"/>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地点</w:t>
            </w:r>
          </w:p>
        </w:tc>
        <w:tc>
          <w:tcPr>
            <w:tcW w:w="509" w:type="pct"/>
            <w:tcBorders>
              <w:top w:val="single" w:color="auto" w:sz="8" w:space="0"/>
              <w:left w:val="nil"/>
              <w:bottom w:val="nil"/>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建设时间(年)</w:t>
            </w:r>
          </w:p>
        </w:tc>
        <w:tc>
          <w:tcPr>
            <w:tcW w:w="482" w:type="pct"/>
            <w:tcBorders>
              <w:top w:val="single" w:color="auto" w:sz="8" w:space="0"/>
              <w:left w:val="nil"/>
              <w:bottom w:val="nil"/>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竣工时间(年)</w:t>
            </w:r>
          </w:p>
        </w:tc>
      </w:tr>
      <w:tr>
        <w:tblPrEx>
          <w:tblCellMar>
            <w:top w:w="0" w:type="dxa"/>
            <w:left w:w="108" w:type="dxa"/>
            <w:bottom w:w="0" w:type="dxa"/>
            <w:right w:w="108" w:type="dxa"/>
          </w:tblCellMar>
        </w:tblPrEx>
        <w:trPr>
          <w:trHeight w:val="950" w:hRule="atLeast"/>
        </w:trPr>
        <w:tc>
          <w:tcPr>
            <w:tcW w:w="355" w:type="pct"/>
            <w:vMerge w:val="restart"/>
            <w:tcBorders>
              <w:top w:val="single" w:color="auto" w:sz="8" w:space="0"/>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2021年</w:t>
            </w:r>
          </w:p>
        </w:tc>
        <w:tc>
          <w:tcPr>
            <w:tcW w:w="270" w:type="pct"/>
            <w:tcBorders>
              <w:top w:val="single" w:color="auto" w:sz="8"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p>
        </w:tc>
        <w:tc>
          <w:tcPr>
            <w:tcW w:w="1217" w:type="pct"/>
            <w:tcBorders>
              <w:top w:val="single" w:color="auto" w:sz="8"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金凤区尹家渠北街或宁安北大街消防站</w:t>
            </w:r>
          </w:p>
        </w:tc>
        <w:tc>
          <w:tcPr>
            <w:tcW w:w="642" w:type="pct"/>
            <w:tcBorders>
              <w:top w:val="single" w:color="auto" w:sz="8" w:space="0"/>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二级消防救援站</w:t>
            </w:r>
          </w:p>
        </w:tc>
        <w:tc>
          <w:tcPr>
            <w:tcW w:w="1522" w:type="pct"/>
            <w:tcBorders>
              <w:top w:val="single" w:color="auto" w:sz="8"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银川市金凤区阅海湾中央商务区以北至丰登镇区域</w:t>
            </w:r>
          </w:p>
        </w:tc>
        <w:tc>
          <w:tcPr>
            <w:tcW w:w="509" w:type="pct"/>
            <w:tcBorders>
              <w:top w:val="single" w:color="auto" w:sz="8"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2021</w:t>
            </w:r>
          </w:p>
        </w:tc>
        <w:tc>
          <w:tcPr>
            <w:tcW w:w="482" w:type="pct"/>
            <w:tcBorders>
              <w:top w:val="single" w:color="auto" w:sz="8" w:space="0"/>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r>
      <w:tr>
        <w:tblPrEx>
          <w:tblCellMar>
            <w:top w:w="0" w:type="dxa"/>
            <w:left w:w="108" w:type="dxa"/>
            <w:bottom w:w="0" w:type="dxa"/>
            <w:right w:w="108" w:type="dxa"/>
          </w:tblCellMar>
        </w:tblPrEx>
        <w:trPr>
          <w:trHeight w:val="694" w:hRule="atLeast"/>
        </w:trPr>
        <w:tc>
          <w:tcPr>
            <w:tcW w:w="355" w:type="pct"/>
            <w:vMerge w:val="continue"/>
            <w:tcBorders>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兴庆区新华商圈小型消防站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小型消防站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银川市新华商圈</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2021</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r>
      <w:tr>
        <w:tblPrEx>
          <w:tblCellMar>
            <w:top w:w="0" w:type="dxa"/>
            <w:left w:w="108" w:type="dxa"/>
            <w:bottom w:w="0" w:type="dxa"/>
            <w:right w:w="108" w:type="dxa"/>
          </w:tblCellMar>
        </w:tblPrEx>
        <w:trPr>
          <w:trHeight w:val="627" w:hRule="atLeast"/>
        </w:trPr>
        <w:tc>
          <w:tcPr>
            <w:tcW w:w="355" w:type="pct"/>
            <w:vMerge w:val="continue"/>
            <w:tcBorders>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3</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永宁县闽宁镇消防站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二级消防救援站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永宁县闽宁镇</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2021</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r>
      <w:tr>
        <w:tblPrEx>
          <w:tblCellMar>
            <w:top w:w="0" w:type="dxa"/>
            <w:left w:w="108" w:type="dxa"/>
            <w:bottom w:w="0" w:type="dxa"/>
            <w:right w:w="108" w:type="dxa"/>
          </w:tblCellMar>
        </w:tblPrEx>
        <w:trPr>
          <w:trHeight w:val="727" w:hRule="atLeast"/>
        </w:trPr>
        <w:tc>
          <w:tcPr>
            <w:tcW w:w="355" w:type="pct"/>
            <w:vMerge w:val="continue"/>
            <w:tcBorders>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银川市贺兰县立岗镇小型消防站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小型消防站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银川市贺兰县立岗镇</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2021</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r>
      <w:tr>
        <w:tblPrEx>
          <w:tblCellMar>
            <w:top w:w="0" w:type="dxa"/>
            <w:left w:w="108" w:type="dxa"/>
            <w:bottom w:w="0" w:type="dxa"/>
            <w:right w:w="108" w:type="dxa"/>
          </w:tblCellMar>
        </w:tblPrEx>
        <w:trPr>
          <w:trHeight w:val="744" w:hRule="atLeast"/>
        </w:trPr>
        <w:tc>
          <w:tcPr>
            <w:tcW w:w="355" w:type="pct"/>
            <w:vMerge w:val="continue"/>
            <w:tcBorders>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5</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灵武市白土岗乡（或梧桐树乡）小型消防站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小型消防站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银川市灵武市白土岗乡（或梧桐树乡）</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2021</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r>
      <w:tr>
        <w:tblPrEx>
          <w:tblCellMar>
            <w:top w:w="0" w:type="dxa"/>
            <w:left w:w="108" w:type="dxa"/>
            <w:bottom w:w="0" w:type="dxa"/>
            <w:right w:w="108" w:type="dxa"/>
          </w:tblCellMar>
        </w:tblPrEx>
        <w:trPr>
          <w:trHeight w:val="817" w:hRule="atLeast"/>
        </w:trPr>
        <w:tc>
          <w:tcPr>
            <w:tcW w:w="355" w:type="pct"/>
            <w:vMerge w:val="continue"/>
            <w:tcBorders>
              <w:left w:val="single" w:color="auto" w:sz="8" w:space="0"/>
              <w:bottom w:val="single" w:color="000000"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6</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训练与战勤保障支队战勤保障消防站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战勤保障消防站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银川市西夏区镇芦路119号</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2021</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r>
      <w:tr>
        <w:tblPrEx>
          <w:tblCellMar>
            <w:top w:w="0" w:type="dxa"/>
            <w:left w:w="108" w:type="dxa"/>
            <w:bottom w:w="0" w:type="dxa"/>
            <w:right w:w="108" w:type="dxa"/>
          </w:tblCellMar>
        </w:tblPrEx>
        <w:trPr>
          <w:trHeight w:val="773" w:hRule="atLeast"/>
        </w:trPr>
        <w:tc>
          <w:tcPr>
            <w:tcW w:w="355" w:type="pct"/>
            <w:vMerge w:val="restart"/>
            <w:tcBorders>
              <w:top w:val="nil"/>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2022年</w:t>
            </w: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银川市西夏区宁朔街消防救援站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二级消防救援站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银川市西夏区宁朔北街</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2023</w:t>
            </w:r>
          </w:p>
        </w:tc>
      </w:tr>
      <w:tr>
        <w:tblPrEx>
          <w:tblCellMar>
            <w:top w:w="0" w:type="dxa"/>
            <w:left w:w="108" w:type="dxa"/>
            <w:bottom w:w="0" w:type="dxa"/>
            <w:right w:w="108" w:type="dxa"/>
          </w:tblCellMar>
        </w:tblPrEx>
        <w:trPr>
          <w:trHeight w:val="812" w:hRule="atLeast"/>
        </w:trPr>
        <w:tc>
          <w:tcPr>
            <w:tcW w:w="355" w:type="pct"/>
            <w:vMerge w:val="continue"/>
            <w:tcBorders>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贺兰县暖泉工业园区消防站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二级消防救援站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贺兰县暖泉工业园区</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2023</w:t>
            </w:r>
          </w:p>
        </w:tc>
      </w:tr>
      <w:tr>
        <w:tblPrEx>
          <w:tblCellMar>
            <w:top w:w="0" w:type="dxa"/>
            <w:left w:w="108" w:type="dxa"/>
            <w:bottom w:w="0" w:type="dxa"/>
            <w:right w:w="108" w:type="dxa"/>
          </w:tblCellMar>
        </w:tblPrEx>
        <w:trPr>
          <w:trHeight w:val="818" w:hRule="atLeast"/>
        </w:trPr>
        <w:tc>
          <w:tcPr>
            <w:tcW w:w="355" w:type="pct"/>
            <w:vMerge w:val="continue"/>
            <w:tcBorders>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3</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银川市贺兰县金贵镇或兴庆区通贵镇小型消防站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小型消防站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银川市贺兰县金贵镇或兴庆区通贵镇</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2023</w:t>
            </w:r>
          </w:p>
        </w:tc>
      </w:tr>
      <w:tr>
        <w:tblPrEx>
          <w:tblCellMar>
            <w:top w:w="0" w:type="dxa"/>
            <w:left w:w="108" w:type="dxa"/>
            <w:bottom w:w="0" w:type="dxa"/>
            <w:right w:w="108" w:type="dxa"/>
          </w:tblCellMar>
        </w:tblPrEx>
        <w:trPr>
          <w:trHeight w:val="884" w:hRule="atLeast"/>
        </w:trPr>
        <w:tc>
          <w:tcPr>
            <w:tcW w:w="355" w:type="pct"/>
            <w:vMerge w:val="continue"/>
            <w:tcBorders>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银川市永宁县胜利乡或望洪镇小型消防站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小型消防站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银川市永宁县胜利乡或望洪镇</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2023</w:t>
            </w:r>
          </w:p>
        </w:tc>
      </w:tr>
      <w:tr>
        <w:tblPrEx>
          <w:tblCellMar>
            <w:top w:w="0" w:type="dxa"/>
            <w:left w:w="108" w:type="dxa"/>
            <w:bottom w:w="0" w:type="dxa"/>
            <w:right w:w="108" w:type="dxa"/>
          </w:tblCellMar>
        </w:tblPrEx>
        <w:trPr>
          <w:trHeight w:val="704" w:hRule="atLeast"/>
        </w:trPr>
        <w:tc>
          <w:tcPr>
            <w:tcW w:w="355" w:type="pct"/>
            <w:vMerge w:val="continue"/>
            <w:tcBorders>
              <w:left w:val="single" w:color="auto" w:sz="8"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5</w:t>
            </w:r>
          </w:p>
        </w:tc>
        <w:tc>
          <w:tcPr>
            <w:tcW w:w="1217"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银川市永宁县李俊镇小型消防站</w:t>
            </w:r>
          </w:p>
        </w:tc>
        <w:tc>
          <w:tcPr>
            <w:tcW w:w="642" w:type="pct"/>
            <w:tcBorders>
              <w:top w:val="nil"/>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小型消防站</w:t>
            </w:r>
          </w:p>
        </w:tc>
        <w:tc>
          <w:tcPr>
            <w:tcW w:w="1522"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银川市永宁县李俊镇</w:t>
            </w:r>
          </w:p>
        </w:tc>
        <w:tc>
          <w:tcPr>
            <w:tcW w:w="509" w:type="pct"/>
            <w:tcBorders>
              <w:top w:val="nil"/>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2022</w:t>
            </w:r>
          </w:p>
        </w:tc>
        <w:tc>
          <w:tcPr>
            <w:tcW w:w="482" w:type="pct"/>
            <w:tcBorders>
              <w:top w:val="nil"/>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2023</w:t>
            </w:r>
          </w:p>
        </w:tc>
      </w:tr>
      <w:tr>
        <w:tblPrEx>
          <w:tblCellMar>
            <w:top w:w="0" w:type="dxa"/>
            <w:left w:w="108" w:type="dxa"/>
            <w:bottom w:w="0" w:type="dxa"/>
            <w:right w:w="108" w:type="dxa"/>
          </w:tblCellMar>
        </w:tblPrEx>
        <w:trPr>
          <w:trHeight w:val="791" w:hRule="atLeast"/>
        </w:trPr>
        <w:tc>
          <w:tcPr>
            <w:tcW w:w="355" w:type="pct"/>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2023年</w:t>
            </w:r>
          </w:p>
        </w:tc>
        <w:tc>
          <w:tcPr>
            <w:tcW w:w="270"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1</w:t>
            </w:r>
          </w:p>
        </w:tc>
        <w:tc>
          <w:tcPr>
            <w:tcW w:w="1217"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银川市贺兰县德胜工业园区第二消防救援站</w:t>
            </w:r>
          </w:p>
        </w:tc>
        <w:tc>
          <w:tcPr>
            <w:tcW w:w="642"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二级消防救援站</w:t>
            </w:r>
          </w:p>
        </w:tc>
        <w:tc>
          <w:tcPr>
            <w:tcW w:w="1522"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银川市贺兰县德胜片区</w:t>
            </w:r>
          </w:p>
        </w:tc>
        <w:tc>
          <w:tcPr>
            <w:tcW w:w="509"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2023</w:t>
            </w:r>
          </w:p>
        </w:tc>
        <w:tc>
          <w:tcPr>
            <w:tcW w:w="482"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2024</w:t>
            </w:r>
          </w:p>
        </w:tc>
      </w:tr>
      <w:tr>
        <w:tblPrEx>
          <w:tblCellMar>
            <w:top w:w="0" w:type="dxa"/>
            <w:left w:w="108" w:type="dxa"/>
            <w:bottom w:w="0" w:type="dxa"/>
            <w:right w:w="108" w:type="dxa"/>
          </w:tblCellMar>
        </w:tblPrEx>
        <w:trPr>
          <w:trHeight w:val="919" w:hRule="atLeast"/>
        </w:trPr>
        <w:tc>
          <w:tcPr>
            <w:tcW w:w="355" w:type="pct"/>
            <w:vMerge w:val="continue"/>
            <w:tcBorders>
              <w:left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w:t>
            </w:r>
          </w:p>
        </w:tc>
        <w:tc>
          <w:tcPr>
            <w:tcW w:w="1217"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银川市兴庆区燕鸽湖消防救援站</w:t>
            </w:r>
          </w:p>
        </w:tc>
        <w:tc>
          <w:tcPr>
            <w:tcW w:w="642"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二级消防救援站</w:t>
            </w:r>
          </w:p>
        </w:tc>
        <w:tc>
          <w:tcPr>
            <w:tcW w:w="1522"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银川市兴庆区友爱街以西、新华街以北</w:t>
            </w:r>
          </w:p>
        </w:tc>
        <w:tc>
          <w:tcPr>
            <w:tcW w:w="509"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2023</w:t>
            </w:r>
          </w:p>
        </w:tc>
        <w:tc>
          <w:tcPr>
            <w:tcW w:w="482"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2024</w:t>
            </w:r>
          </w:p>
        </w:tc>
      </w:tr>
      <w:tr>
        <w:tblPrEx>
          <w:tblCellMar>
            <w:top w:w="0" w:type="dxa"/>
            <w:left w:w="108" w:type="dxa"/>
            <w:bottom w:w="0" w:type="dxa"/>
            <w:right w:w="108" w:type="dxa"/>
          </w:tblCellMar>
        </w:tblPrEx>
        <w:trPr>
          <w:trHeight w:val="843" w:hRule="atLeast"/>
        </w:trPr>
        <w:tc>
          <w:tcPr>
            <w:tcW w:w="355" w:type="pct"/>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p>
        </w:tc>
        <w:tc>
          <w:tcPr>
            <w:tcW w:w="270"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3</w:t>
            </w:r>
          </w:p>
        </w:tc>
        <w:tc>
          <w:tcPr>
            <w:tcW w:w="1217"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银川市金凤区良田路消防救援站</w:t>
            </w:r>
          </w:p>
        </w:tc>
        <w:tc>
          <w:tcPr>
            <w:tcW w:w="642" w:type="pct"/>
            <w:tcBorders>
              <w:top w:val="single" w:color="auto" w:sz="4" w:space="0"/>
              <w:left w:val="nil"/>
              <w:bottom w:val="single" w:color="auto" w:sz="4" w:space="0"/>
              <w:right w:val="single" w:color="auto" w:sz="4" w:space="0"/>
            </w:tcBorders>
            <w:tcMar>
              <w:top w:w="0" w:type="dxa"/>
              <w:left w:w="0" w:type="dxa"/>
              <w:bottom w:w="0" w:type="dxa"/>
              <w:right w:w="0" w:type="dxa"/>
            </w:tcMar>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二级消防救援站</w:t>
            </w:r>
          </w:p>
        </w:tc>
        <w:tc>
          <w:tcPr>
            <w:tcW w:w="1522"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银川市金凤区良田路</w:t>
            </w:r>
          </w:p>
        </w:tc>
        <w:tc>
          <w:tcPr>
            <w:tcW w:w="509" w:type="pct"/>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2023</w:t>
            </w:r>
          </w:p>
        </w:tc>
        <w:tc>
          <w:tcPr>
            <w:tcW w:w="482" w:type="pct"/>
            <w:tcBorders>
              <w:top w:val="single" w:color="auto" w:sz="4" w:space="0"/>
              <w:left w:val="nil"/>
              <w:bottom w:val="single" w:color="auto" w:sz="4" w:space="0"/>
              <w:right w:val="single" w:color="auto" w:sz="8" w:space="0"/>
            </w:tcBorders>
            <w:vAlign w:val="center"/>
          </w:tcPr>
          <w:p>
            <w:pPr>
              <w:widowControl/>
              <w:spacing w:line="30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2024</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632450" cy="7960360"/>
            <wp:effectExtent l="0" t="0" r="6350" b="2540"/>
            <wp:docPr id="4" name="图片 4" descr="市域十四五消防站建设规划图-2021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市域十四五消防站建设规划图-20210913"/>
                    <pic:cNvPicPr>
                      <a:picLocks noChangeAspect="1"/>
                    </pic:cNvPicPr>
                  </pic:nvPicPr>
                  <pic:blipFill>
                    <a:blip r:embed="rId8"/>
                    <a:stretch>
                      <a:fillRect/>
                    </a:stretch>
                  </pic:blipFill>
                  <pic:spPr>
                    <a:xfrm>
                      <a:off x="0" y="0"/>
                      <a:ext cx="5632450" cy="7960360"/>
                    </a:xfrm>
                    <a:prstGeom prst="rect">
                      <a:avLst/>
                    </a:prstGeom>
                  </pic:spPr>
                </pic:pic>
              </a:graphicData>
            </a:graphic>
          </wp:inline>
        </w:drawing>
      </w:r>
    </w:p>
    <w:p>
      <w:pPr>
        <w:jc w:val="center"/>
        <w:rPr>
          <w:b/>
          <w:bCs/>
          <w:color w:val="000000" w:themeColor="text1"/>
          <w:sz w:val="28"/>
          <w:szCs w:val="28"/>
          <w14:textFill>
            <w14:solidFill>
              <w14:schemeClr w14:val="tx1"/>
            </w14:solidFill>
          </w14:textFill>
        </w:rPr>
      </w:pPr>
    </w:p>
    <w:p>
      <w:pPr>
        <w:jc w:val="center"/>
        <w:rPr>
          <w:color w:val="000000" w:themeColor="text1"/>
          <w14:textFill>
            <w14:solidFill>
              <w14:schemeClr w14:val="tx1"/>
            </w14:solidFill>
          </w14:textFill>
        </w:rPr>
      </w:pPr>
      <w:r>
        <w:fldChar w:fldCharType="begin"/>
      </w:r>
      <w:r>
        <w:instrText xml:space="preserve"> HYPERLINK \l "_Toc448829793" </w:instrText>
      </w:r>
      <w:r>
        <w:fldChar w:fldCharType="separate"/>
      </w:r>
      <w:r>
        <w:rPr>
          <w:rFonts w:hint="eastAsia"/>
          <w:b/>
          <w:bCs/>
          <w:color w:val="000000" w:themeColor="text1"/>
          <w:sz w:val="28"/>
          <w:szCs w:val="28"/>
          <w14:textFill>
            <w14:solidFill>
              <w14:schemeClr w14:val="tx1"/>
            </w14:solidFill>
          </w14:textFill>
        </w:rPr>
        <w:t>银川市“十四五”政府专职</w:t>
      </w:r>
      <w:r>
        <w:rPr>
          <w:rFonts w:hint="eastAsia"/>
          <w:b/>
          <w:bCs/>
          <w:color w:val="000000" w:themeColor="text1"/>
          <w:sz w:val="28"/>
          <w:szCs w:val="28"/>
          <w14:textFill>
            <w14:solidFill>
              <w14:schemeClr w14:val="tx1"/>
            </w14:solidFill>
          </w14:textFill>
        </w:rPr>
        <w:fldChar w:fldCharType="end"/>
      </w:r>
      <w:r>
        <w:fldChar w:fldCharType="begin"/>
      </w:r>
      <w:r>
        <w:instrText xml:space="preserve"> HYPERLINK \l "_Toc448829794" </w:instrText>
      </w:r>
      <w:r>
        <w:fldChar w:fldCharType="separate"/>
      </w:r>
      <w:r>
        <w:rPr>
          <w:rFonts w:hint="eastAsia"/>
          <w:b/>
          <w:bCs/>
          <w:color w:val="000000" w:themeColor="text1"/>
          <w:sz w:val="28"/>
          <w:szCs w:val="28"/>
          <w14:textFill>
            <w14:solidFill>
              <w14:schemeClr w14:val="tx1"/>
            </w14:solidFill>
          </w14:textFill>
        </w:rPr>
        <w:t>消防队员、消防文员征召规划表</w:t>
      </w:r>
      <w:r>
        <w:rPr>
          <w:rFonts w:hint="eastAsia"/>
          <w:b/>
          <w:bCs/>
          <w:color w:val="000000" w:themeColor="text1"/>
          <w:sz w:val="28"/>
          <w:szCs w:val="28"/>
          <w14:textFill>
            <w14:solidFill>
              <w14:schemeClr w14:val="tx1"/>
            </w14:solidFill>
          </w14:textFill>
        </w:rPr>
        <w:fldChar w:fldCharType="end"/>
      </w:r>
    </w:p>
    <w:tbl>
      <w:tblPr>
        <w:tblStyle w:val="15"/>
        <w:tblW w:w="4998" w:type="pct"/>
        <w:jc w:val="center"/>
        <w:tblLayout w:type="autofit"/>
        <w:tblCellMar>
          <w:top w:w="0" w:type="dxa"/>
          <w:left w:w="28" w:type="dxa"/>
          <w:bottom w:w="0" w:type="dxa"/>
          <w:right w:w="28" w:type="dxa"/>
        </w:tblCellMar>
      </w:tblPr>
      <w:tblGrid>
        <w:gridCol w:w="3153"/>
        <w:gridCol w:w="3626"/>
        <w:gridCol w:w="2175"/>
      </w:tblGrid>
      <w:tr>
        <w:tblPrEx>
          <w:tblCellMar>
            <w:top w:w="0" w:type="dxa"/>
            <w:left w:w="28" w:type="dxa"/>
            <w:bottom w:w="0" w:type="dxa"/>
            <w:right w:w="28" w:type="dxa"/>
          </w:tblCellMar>
        </w:tblPrEx>
        <w:trPr>
          <w:trHeight w:val="433" w:hRule="atLeast"/>
          <w:jc w:val="center"/>
        </w:trPr>
        <w:tc>
          <w:tcPr>
            <w:tcW w:w="1760"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年度</w:t>
            </w: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类别</w:t>
            </w:r>
          </w:p>
        </w:tc>
        <w:tc>
          <w:tcPr>
            <w:tcW w:w="121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银川</w:t>
            </w:r>
          </w:p>
        </w:tc>
      </w:tr>
      <w:tr>
        <w:tblPrEx>
          <w:tblCellMar>
            <w:top w:w="0" w:type="dxa"/>
            <w:left w:w="28" w:type="dxa"/>
            <w:bottom w:w="0" w:type="dxa"/>
            <w:right w:w="28" w:type="dxa"/>
          </w:tblCellMar>
        </w:tblPrEx>
        <w:trPr>
          <w:trHeight w:val="433" w:hRule="atLeast"/>
          <w:jc w:val="center"/>
        </w:trPr>
        <w:tc>
          <w:tcPr>
            <w:tcW w:w="1760" w:type="pct"/>
            <w:vMerge w:val="restart"/>
            <w:tcBorders>
              <w:top w:val="nil"/>
              <w:left w:val="single" w:color="auto" w:sz="4" w:space="0"/>
              <w:bottom w:val="single" w:color="000000"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w:t>
            </w:r>
            <w:r>
              <w:rPr>
                <w:rFonts w:hint="eastAsia"/>
                <w:color w:val="000000" w:themeColor="text1"/>
                <w:kern w:val="0"/>
                <w:sz w:val="24"/>
                <w:szCs w:val="24"/>
                <w14:textFill>
                  <w14:solidFill>
                    <w14:schemeClr w14:val="tx1"/>
                  </w14:solidFill>
                </w14:textFill>
              </w:rPr>
              <w:t>21</w:t>
            </w:r>
            <w:r>
              <w:rPr>
                <w:color w:val="000000" w:themeColor="text1"/>
                <w:kern w:val="0"/>
                <w:sz w:val="24"/>
                <w:szCs w:val="24"/>
                <w14:textFill>
                  <w14:solidFill>
                    <w14:schemeClr w14:val="tx1"/>
                  </w14:solidFill>
                </w14:textFill>
              </w:rPr>
              <w:t>年</w:t>
            </w: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专职队员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30</w:t>
            </w:r>
          </w:p>
        </w:tc>
      </w:tr>
      <w:tr>
        <w:tblPrEx>
          <w:tblCellMar>
            <w:top w:w="0" w:type="dxa"/>
            <w:left w:w="28" w:type="dxa"/>
            <w:bottom w:w="0" w:type="dxa"/>
            <w:right w:w="28" w:type="dxa"/>
          </w:tblCellMar>
        </w:tblPrEx>
        <w:trPr>
          <w:trHeight w:val="433" w:hRule="atLeast"/>
          <w:jc w:val="center"/>
        </w:trPr>
        <w:tc>
          <w:tcPr>
            <w:tcW w:w="1760" w:type="pct"/>
            <w:vMerge w:val="continue"/>
            <w:tcBorders>
              <w:top w:val="nil"/>
              <w:left w:val="single" w:color="auto" w:sz="4" w:space="0"/>
              <w:bottom w:val="single" w:color="000000"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消防文员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5</w:t>
            </w:r>
          </w:p>
        </w:tc>
      </w:tr>
      <w:tr>
        <w:tblPrEx>
          <w:tblCellMar>
            <w:top w:w="0" w:type="dxa"/>
            <w:left w:w="28" w:type="dxa"/>
            <w:bottom w:w="0" w:type="dxa"/>
            <w:right w:w="28" w:type="dxa"/>
          </w:tblCellMar>
        </w:tblPrEx>
        <w:trPr>
          <w:trHeight w:val="433" w:hRule="atLeast"/>
          <w:jc w:val="center"/>
        </w:trPr>
        <w:tc>
          <w:tcPr>
            <w:tcW w:w="1760" w:type="pct"/>
            <w:vMerge w:val="restart"/>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w:t>
            </w:r>
            <w:r>
              <w:rPr>
                <w:rFonts w:hint="eastAsia"/>
                <w:color w:val="000000" w:themeColor="text1"/>
                <w:kern w:val="0"/>
                <w:sz w:val="24"/>
                <w:szCs w:val="24"/>
                <w14:textFill>
                  <w14:solidFill>
                    <w14:schemeClr w14:val="tx1"/>
                  </w14:solidFill>
                </w14:textFill>
              </w:rPr>
              <w:t>22</w:t>
            </w:r>
            <w:r>
              <w:rPr>
                <w:color w:val="000000" w:themeColor="text1"/>
                <w:kern w:val="0"/>
                <w:sz w:val="24"/>
                <w:szCs w:val="24"/>
                <w14:textFill>
                  <w14:solidFill>
                    <w14:schemeClr w14:val="tx1"/>
                  </w14:solidFill>
                </w14:textFill>
              </w:rPr>
              <w:t>年</w:t>
            </w: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专职队员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40</w:t>
            </w:r>
          </w:p>
        </w:tc>
      </w:tr>
      <w:tr>
        <w:tblPrEx>
          <w:tblCellMar>
            <w:top w:w="0" w:type="dxa"/>
            <w:left w:w="28" w:type="dxa"/>
            <w:bottom w:w="0" w:type="dxa"/>
            <w:right w:w="28" w:type="dxa"/>
          </w:tblCellMar>
        </w:tblPrEx>
        <w:trPr>
          <w:trHeight w:val="433" w:hRule="atLeast"/>
          <w:jc w:val="center"/>
        </w:trPr>
        <w:tc>
          <w:tcPr>
            <w:tcW w:w="1760" w:type="pct"/>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消防文员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5</w:t>
            </w:r>
          </w:p>
        </w:tc>
      </w:tr>
      <w:tr>
        <w:tblPrEx>
          <w:tblCellMar>
            <w:top w:w="0" w:type="dxa"/>
            <w:left w:w="28" w:type="dxa"/>
            <w:bottom w:w="0" w:type="dxa"/>
            <w:right w:w="28" w:type="dxa"/>
          </w:tblCellMar>
        </w:tblPrEx>
        <w:trPr>
          <w:trHeight w:val="433" w:hRule="atLeast"/>
          <w:jc w:val="center"/>
        </w:trPr>
        <w:tc>
          <w:tcPr>
            <w:tcW w:w="1760" w:type="pct"/>
            <w:vMerge w:val="restart"/>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w:t>
            </w:r>
            <w:r>
              <w:rPr>
                <w:rFonts w:hint="eastAsia"/>
                <w:color w:val="000000" w:themeColor="text1"/>
                <w:kern w:val="0"/>
                <w:sz w:val="24"/>
                <w:szCs w:val="24"/>
                <w14:textFill>
                  <w14:solidFill>
                    <w14:schemeClr w14:val="tx1"/>
                  </w14:solidFill>
                </w14:textFill>
              </w:rPr>
              <w:t>23</w:t>
            </w:r>
            <w:r>
              <w:rPr>
                <w:color w:val="000000" w:themeColor="text1"/>
                <w:kern w:val="0"/>
                <w:sz w:val="24"/>
                <w:szCs w:val="24"/>
                <w14:textFill>
                  <w14:solidFill>
                    <w14:schemeClr w14:val="tx1"/>
                  </w14:solidFill>
                </w14:textFill>
              </w:rPr>
              <w:t>年</w:t>
            </w: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专职队员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40</w:t>
            </w:r>
          </w:p>
        </w:tc>
      </w:tr>
      <w:tr>
        <w:tblPrEx>
          <w:tblCellMar>
            <w:top w:w="0" w:type="dxa"/>
            <w:left w:w="28" w:type="dxa"/>
            <w:bottom w:w="0" w:type="dxa"/>
            <w:right w:w="28" w:type="dxa"/>
          </w:tblCellMar>
        </w:tblPrEx>
        <w:trPr>
          <w:trHeight w:val="433" w:hRule="atLeast"/>
          <w:jc w:val="center"/>
        </w:trPr>
        <w:tc>
          <w:tcPr>
            <w:tcW w:w="1760" w:type="pct"/>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消防文员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5</w:t>
            </w:r>
          </w:p>
        </w:tc>
      </w:tr>
      <w:tr>
        <w:tblPrEx>
          <w:tblCellMar>
            <w:top w:w="0" w:type="dxa"/>
            <w:left w:w="28" w:type="dxa"/>
            <w:bottom w:w="0" w:type="dxa"/>
            <w:right w:w="28" w:type="dxa"/>
          </w:tblCellMar>
        </w:tblPrEx>
        <w:trPr>
          <w:trHeight w:val="433" w:hRule="atLeast"/>
          <w:jc w:val="center"/>
        </w:trPr>
        <w:tc>
          <w:tcPr>
            <w:tcW w:w="1760" w:type="pct"/>
            <w:vMerge w:val="restart"/>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w:t>
            </w:r>
            <w:r>
              <w:rPr>
                <w:rFonts w:hint="eastAsia"/>
                <w:color w:val="000000" w:themeColor="text1"/>
                <w:kern w:val="0"/>
                <w:sz w:val="24"/>
                <w:szCs w:val="24"/>
                <w14:textFill>
                  <w14:solidFill>
                    <w14:schemeClr w14:val="tx1"/>
                  </w14:solidFill>
                </w14:textFill>
              </w:rPr>
              <w:t>24</w:t>
            </w:r>
            <w:r>
              <w:rPr>
                <w:color w:val="000000" w:themeColor="text1"/>
                <w:kern w:val="0"/>
                <w:sz w:val="24"/>
                <w:szCs w:val="24"/>
                <w14:textFill>
                  <w14:solidFill>
                    <w14:schemeClr w14:val="tx1"/>
                  </w14:solidFill>
                </w14:textFill>
              </w:rPr>
              <w:t>年</w:t>
            </w: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专职队员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40</w:t>
            </w:r>
          </w:p>
        </w:tc>
      </w:tr>
      <w:tr>
        <w:tblPrEx>
          <w:tblCellMar>
            <w:top w:w="0" w:type="dxa"/>
            <w:left w:w="28" w:type="dxa"/>
            <w:bottom w:w="0" w:type="dxa"/>
            <w:right w:w="28" w:type="dxa"/>
          </w:tblCellMar>
        </w:tblPrEx>
        <w:trPr>
          <w:trHeight w:val="433" w:hRule="atLeast"/>
          <w:jc w:val="center"/>
        </w:trPr>
        <w:tc>
          <w:tcPr>
            <w:tcW w:w="1760" w:type="pct"/>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消防文员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5</w:t>
            </w:r>
          </w:p>
        </w:tc>
      </w:tr>
      <w:tr>
        <w:tblPrEx>
          <w:tblCellMar>
            <w:top w:w="0" w:type="dxa"/>
            <w:left w:w="28" w:type="dxa"/>
            <w:bottom w:w="0" w:type="dxa"/>
            <w:right w:w="28" w:type="dxa"/>
          </w:tblCellMar>
        </w:tblPrEx>
        <w:trPr>
          <w:trHeight w:val="433" w:hRule="atLeast"/>
          <w:jc w:val="center"/>
        </w:trPr>
        <w:tc>
          <w:tcPr>
            <w:tcW w:w="1760" w:type="pct"/>
            <w:vMerge w:val="restart"/>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w:t>
            </w:r>
            <w:r>
              <w:rPr>
                <w:rFonts w:hint="eastAsia"/>
                <w:color w:val="000000" w:themeColor="text1"/>
                <w:kern w:val="0"/>
                <w:sz w:val="24"/>
                <w:szCs w:val="24"/>
                <w14:textFill>
                  <w14:solidFill>
                    <w14:schemeClr w14:val="tx1"/>
                  </w14:solidFill>
                </w14:textFill>
              </w:rPr>
              <w:t>25</w:t>
            </w:r>
            <w:r>
              <w:rPr>
                <w:color w:val="000000" w:themeColor="text1"/>
                <w:kern w:val="0"/>
                <w:sz w:val="24"/>
                <w:szCs w:val="24"/>
                <w14:textFill>
                  <w14:solidFill>
                    <w14:schemeClr w14:val="tx1"/>
                  </w14:solidFill>
                </w14:textFill>
              </w:rPr>
              <w:t>年</w:t>
            </w: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专职队员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40</w:t>
            </w:r>
          </w:p>
        </w:tc>
      </w:tr>
      <w:tr>
        <w:tblPrEx>
          <w:tblCellMar>
            <w:top w:w="0" w:type="dxa"/>
            <w:left w:w="28" w:type="dxa"/>
            <w:bottom w:w="0" w:type="dxa"/>
            <w:right w:w="28" w:type="dxa"/>
          </w:tblCellMar>
        </w:tblPrEx>
        <w:trPr>
          <w:trHeight w:val="433" w:hRule="atLeast"/>
          <w:jc w:val="center"/>
        </w:trPr>
        <w:tc>
          <w:tcPr>
            <w:tcW w:w="1760" w:type="pct"/>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消防文员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5</w:t>
            </w:r>
          </w:p>
        </w:tc>
      </w:tr>
      <w:tr>
        <w:tblPrEx>
          <w:tblCellMar>
            <w:top w:w="0" w:type="dxa"/>
            <w:left w:w="28" w:type="dxa"/>
            <w:bottom w:w="0" w:type="dxa"/>
            <w:right w:w="28" w:type="dxa"/>
          </w:tblCellMar>
        </w:tblPrEx>
        <w:trPr>
          <w:trHeight w:val="433" w:hRule="atLeast"/>
          <w:jc w:val="center"/>
        </w:trPr>
        <w:tc>
          <w:tcPr>
            <w:tcW w:w="1760" w:type="pct"/>
            <w:vMerge w:val="restart"/>
            <w:tcBorders>
              <w:top w:val="nil"/>
              <w:left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w:t>
            </w:r>
            <w:r>
              <w:rPr>
                <w:rFonts w:hint="eastAsia"/>
                <w:color w:val="000000" w:themeColor="text1"/>
                <w:kern w:val="0"/>
                <w:sz w:val="24"/>
                <w:szCs w:val="24"/>
                <w14:textFill>
                  <w14:solidFill>
                    <w14:schemeClr w14:val="tx1"/>
                  </w14:solidFill>
                </w14:textFill>
              </w:rPr>
              <w:t>20</w:t>
            </w:r>
            <w:r>
              <w:rPr>
                <w:color w:val="000000" w:themeColor="text1"/>
                <w:kern w:val="0"/>
                <w:sz w:val="24"/>
                <w:szCs w:val="24"/>
                <w14:textFill>
                  <w14:solidFill>
                    <w14:schemeClr w14:val="tx1"/>
                  </w14:solidFill>
                </w14:textFill>
              </w:rPr>
              <w:t>年底总数</w:t>
            </w: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专职队员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272</w:t>
            </w:r>
          </w:p>
        </w:tc>
      </w:tr>
      <w:tr>
        <w:tblPrEx>
          <w:tblCellMar>
            <w:top w:w="0" w:type="dxa"/>
            <w:left w:w="28" w:type="dxa"/>
            <w:bottom w:w="0" w:type="dxa"/>
            <w:right w:w="28" w:type="dxa"/>
          </w:tblCellMar>
        </w:tblPrEx>
        <w:trPr>
          <w:trHeight w:val="433" w:hRule="atLeast"/>
          <w:jc w:val="center"/>
        </w:trPr>
        <w:tc>
          <w:tcPr>
            <w:tcW w:w="1760" w:type="pct"/>
            <w:vMerge w:val="continue"/>
            <w:tcBorders>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消防文员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119</w:t>
            </w:r>
          </w:p>
        </w:tc>
      </w:tr>
      <w:tr>
        <w:tblPrEx>
          <w:tblCellMar>
            <w:top w:w="0" w:type="dxa"/>
            <w:left w:w="28" w:type="dxa"/>
            <w:bottom w:w="0" w:type="dxa"/>
            <w:right w:w="28" w:type="dxa"/>
          </w:tblCellMar>
        </w:tblPrEx>
        <w:trPr>
          <w:trHeight w:val="433" w:hRule="atLeast"/>
          <w:jc w:val="center"/>
        </w:trPr>
        <w:tc>
          <w:tcPr>
            <w:tcW w:w="1760" w:type="pct"/>
            <w:vMerge w:val="restart"/>
            <w:tcBorders>
              <w:top w:val="nil"/>
              <w:left w:val="single" w:color="auto" w:sz="4" w:space="0"/>
              <w:bottom w:val="single" w:color="000000"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十四五</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增加总数</w:t>
            </w: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专职队员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190</w:t>
            </w:r>
          </w:p>
        </w:tc>
      </w:tr>
      <w:tr>
        <w:tblPrEx>
          <w:tblCellMar>
            <w:top w:w="0" w:type="dxa"/>
            <w:left w:w="28" w:type="dxa"/>
            <w:bottom w:w="0" w:type="dxa"/>
            <w:right w:w="28" w:type="dxa"/>
          </w:tblCellMar>
        </w:tblPrEx>
        <w:trPr>
          <w:trHeight w:val="433" w:hRule="atLeast"/>
          <w:jc w:val="center"/>
        </w:trPr>
        <w:tc>
          <w:tcPr>
            <w:tcW w:w="1760" w:type="pct"/>
            <w:vMerge w:val="continue"/>
            <w:tcBorders>
              <w:top w:val="nil"/>
              <w:left w:val="single" w:color="auto" w:sz="4" w:space="0"/>
              <w:bottom w:val="single" w:color="000000"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p>
        </w:tc>
        <w:tc>
          <w:tcPr>
            <w:tcW w:w="2024"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消防文员</w:t>
            </w:r>
          </w:p>
        </w:tc>
        <w:tc>
          <w:tcPr>
            <w:tcW w:w="2175" w:type="dxa"/>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25</w:t>
            </w:r>
          </w:p>
        </w:tc>
      </w:tr>
    </w:tbl>
    <w:p>
      <w:pPr>
        <w:pStyle w:val="2"/>
        <w:jc w:val="center"/>
        <w:rPr>
          <w:color w:val="000000" w:themeColor="text1"/>
          <w14:textFill>
            <w14:solidFill>
              <w14:schemeClr w14:val="tx1"/>
            </w14:solidFill>
          </w14:textFill>
        </w:rPr>
      </w:pPr>
    </w:p>
    <w:p>
      <w:pPr>
        <w:jc w:val="center"/>
        <w:rPr>
          <w:rFonts w:eastAsia="微软雅黑"/>
          <w:color w:val="000000" w:themeColor="text1"/>
          <w14:textFill>
            <w14:solidFill>
              <w14:schemeClr w14:val="tx1"/>
            </w14:solidFill>
          </w14:textFill>
        </w:rPr>
      </w:pPr>
      <w:r>
        <w:fldChar w:fldCharType="begin"/>
      </w:r>
      <w:r>
        <w:instrText xml:space="preserve"> HYPERLINK \l "_Toc448829793" </w:instrText>
      </w:r>
      <w:r>
        <w:fldChar w:fldCharType="separate"/>
      </w:r>
      <w:r>
        <w:rPr>
          <w:rFonts w:hint="eastAsia"/>
          <w:b/>
          <w:bCs/>
          <w:color w:val="000000" w:themeColor="text1"/>
          <w:sz w:val="28"/>
          <w:szCs w:val="28"/>
          <w14:textFill>
            <w14:solidFill>
              <w14:schemeClr w14:val="tx1"/>
            </w14:solidFill>
          </w14:textFill>
        </w:rPr>
        <w:t>银川市“十四五”消</w:t>
      </w:r>
      <w:r>
        <w:rPr>
          <w:rFonts w:hint="eastAsia"/>
          <w:b/>
          <w:bCs/>
          <w:color w:val="000000" w:themeColor="text1"/>
          <w:sz w:val="28"/>
          <w:szCs w:val="28"/>
          <w14:textFill>
            <w14:solidFill>
              <w14:schemeClr w14:val="tx1"/>
            </w14:solidFill>
          </w14:textFill>
        </w:rPr>
        <w:fldChar w:fldCharType="end"/>
      </w:r>
      <w:r>
        <w:rPr>
          <w:rFonts w:hint="eastAsia"/>
          <w:b/>
          <w:bCs/>
          <w:color w:val="000000" w:themeColor="text1"/>
          <w:sz w:val="28"/>
          <w:szCs w:val="28"/>
          <w14:textFill>
            <w14:solidFill>
              <w14:schemeClr w14:val="tx1"/>
            </w14:solidFill>
          </w14:textFill>
        </w:rPr>
        <w:t>火栓规划表</w:t>
      </w:r>
    </w:p>
    <w:tbl>
      <w:tblPr>
        <w:tblStyle w:val="15"/>
        <w:tblW w:w="4997" w:type="pct"/>
        <w:jc w:val="center"/>
        <w:tblLayout w:type="autofit"/>
        <w:tblCellMar>
          <w:top w:w="0" w:type="dxa"/>
          <w:left w:w="28" w:type="dxa"/>
          <w:bottom w:w="0" w:type="dxa"/>
          <w:right w:w="28" w:type="dxa"/>
        </w:tblCellMar>
      </w:tblPr>
      <w:tblGrid>
        <w:gridCol w:w="5298"/>
        <w:gridCol w:w="3655"/>
      </w:tblGrid>
      <w:tr>
        <w:tblPrEx>
          <w:tblCellMar>
            <w:top w:w="0" w:type="dxa"/>
            <w:left w:w="28" w:type="dxa"/>
            <w:bottom w:w="0" w:type="dxa"/>
            <w:right w:w="28" w:type="dxa"/>
          </w:tblCellMar>
        </w:tblPrEx>
        <w:trPr>
          <w:trHeight w:val="433" w:hRule="atLeast"/>
          <w:jc w:val="center"/>
        </w:trPr>
        <w:tc>
          <w:tcPr>
            <w:tcW w:w="2958"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年度</w:t>
            </w:r>
          </w:p>
        </w:tc>
        <w:tc>
          <w:tcPr>
            <w:tcW w:w="2041"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银川</w:t>
            </w:r>
          </w:p>
        </w:tc>
      </w:tr>
      <w:tr>
        <w:tblPrEx>
          <w:tblCellMar>
            <w:top w:w="0" w:type="dxa"/>
            <w:left w:w="28" w:type="dxa"/>
            <w:bottom w:w="0" w:type="dxa"/>
            <w:right w:w="28" w:type="dxa"/>
          </w:tblCellMar>
        </w:tblPrEx>
        <w:trPr>
          <w:trHeight w:val="433" w:hRule="atLeast"/>
          <w:jc w:val="center"/>
        </w:trPr>
        <w:tc>
          <w:tcPr>
            <w:tcW w:w="2958"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2020年底总数</w:t>
            </w:r>
          </w:p>
        </w:tc>
        <w:tc>
          <w:tcPr>
            <w:tcW w:w="2041"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5908</w:t>
            </w:r>
          </w:p>
        </w:tc>
      </w:tr>
      <w:tr>
        <w:tblPrEx>
          <w:tblCellMar>
            <w:top w:w="0" w:type="dxa"/>
            <w:left w:w="28" w:type="dxa"/>
            <w:bottom w:w="0" w:type="dxa"/>
            <w:right w:w="28" w:type="dxa"/>
          </w:tblCellMar>
        </w:tblPrEx>
        <w:trPr>
          <w:trHeight w:val="433" w:hRule="atLeast"/>
          <w:jc w:val="center"/>
        </w:trPr>
        <w:tc>
          <w:tcPr>
            <w:tcW w:w="2958" w:type="pct"/>
            <w:tcBorders>
              <w:top w:val="nil"/>
              <w:left w:val="single" w:color="auto" w:sz="4" w:space="0"/>
              <w:bottom w:val="single" w:color="000000"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2021年</w:t>
            </w:r>
          </w:p>
        </w:tc>
        <w:tc>
          <w:tcPr>
            <w:tcW w:w="2041"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270</w:t>
            </w:r>
          </w:p>
        </w:tc>
      </w:tr>
      <w:tr>
        <w:tblPrEx>
          <w:tblCellMar>
            <w:top w:w="0" w:type="dxa"/>
            <w:left w:w="28" w:type="dxa"/>
            <w:bottom w:w="0" w:type="dxa"/>
            <w:right w:w="28" w:type="dxa"/>
          </w:tblCellMar>
        </w:tblPrEx>
        <w:trPr>
          <w:trHeight w:val="433" w:hRule="atLeast"/>
          <w:jc w:val="center"/>
        </w:trPr>
        <w:tc>
          <w:tcPr>
            <w:tcW w:w="2958" w:type="pct"/>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2022年</w:t>
            </w:r>
          </w:p>
        </w:tc>
        <w:tc>
          <w:tcPr>
            <w:tcW w:w="2041"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270</w:t>
            </w:r>
          </w:p>
        </w:tc>
      </w:tr>
      <w:tr>
        <w:tblPrEx>
          <w:tblCellMar>
            <w:top w:w="0" w:type="dxa"/>
            <w:left w:w="28" w:type="dxa"/>
            <w:bottom w:w="0" w:type="dxa"/>
            <w:right w:w="28" w:type="dxa"/>
          </w:tblCellMar>
        </w:tblPrEx>
        <w:trPr>
          <w:trHeight w:val="433" w:hRule="atLeast"/>
          <w:jc w:val="center"/>
        </w:trPr>
        <w:tc>
          <w:tcPr>
            <w:tcW w:w="2958" w:type="pct"/>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2023年</w:t>
            </w:r>
          </w:p>
        </w:tc>
        <w:tc>
          <w:tcPr>
            <w:tcW w:w="2041"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270</w:t>
            </w:r>
          </w:p>
        </w:tc>
      </w:tr>
      <w:tr>
        <w:tblPrEx>
          <w:tblCellMar>
            <w:top w:w="0" w:type="dxa"/>
            <w:left w:w="28" w:type="dxa"/>
            <w:bottom w:w="0" w:type="dxa"/>
            <w:right w:w="28" w:type="dxa"/>
          </w:tblCellMar>
        </w:tblPrEx>
        <w:trPr>
          <w:trHeight w:val="433" w:hRule="atLeast"/>
          <w:jc w:val="center"/>
        </w:trPr>
        <w:tc>
          <w:tcPr>
            <w:tcW w:w="2958" w:type="pct"/>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2024年</w:t>
            </w:r>
          </w:p>
        </w:tc>
        <w:tc>
          <w:tcPr>
            <w:tcW w:w="2041"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270</w:t>
            </w:r>
          </w:p>
        </w:tc>
      </w:tr>
      <w:tr>
        <w:tblPrEx>
          <w:tblCellMar>
            <w:top w:w="0" w:type="dxa"/>
            <w:left w:w="28" w:type="dxa"/>
            <w:bottom w:w="0" w:type="dxa"/>
            <w:right w:w="28" w:type="dxa"/>
          </w:tblCellMar>
        </w:tblPrEx>
        <w:trPr>
          <w:trHeight w:val="433" w:hRule="atLeast"/>
          <w:jc w:val="center"/>
        </w:trPr>
        <w:tc>
          <w:tcPr>
            <w:tcW w:w="2958" w:type="pct"/>
            <w:tcBorders>
              <w:top w:val="nil"/>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2025年</w:t>
            </w:r>
          </w:p>
        </w:tc>
        <w:tc>
          <w:tcPr>
            <w:tcW w:w="2041"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270</w:t>
            </w:r>
          </w:p>
        </w:tc>
      </w:tr>
      <w:tr>
        <w:tblPrEx>
          <w:tblCellMar>
            <w:top w:w="0" w:type="dxa"/>
            <w:left w:w="28" w:type="dxa"/>
            <w:bottom w:w="0" w:type="dxa"/>
            <w:right w:w="28" w:type="dxa"/>
          </w:tblCellMar>
        </w:tblPrEx>
        <w:trPr>
          <w:trHeight w:val="433" w:hRule="atLeast"/>
          <w:jc w:val="center"/>
        </w:trPr>
        <w:tc>
          <w:tcPr>
            <w:tcW w:w="2958"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十四五</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增加总数</w:t>
            </w:r>
          </w:p>
        </w:tc>
        <w:tc>
          <w:tcPr>
            <w:tcW w:w="2041"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1350</w:t>
            </w:r>
          </w:p>
        </w:tc>
      </w:tr>
      <w:tr>
        <w:tblPrEx>
          <w:tblCellMar>
            <w:top w:w="0" w:type="dxa"/>
            <w:left w:w="28" w:type="dxa"/>
            <w:bottom w:w="0" w:type="dxa"/>
            <w:right w:w="28" w:type="dxa"/>
          </w:tblCellMar>
        </w:tblPrEx>
        <w:trPr>
          <w:trHeight w:val="433" w:hRule="atLeast"/>
          <w:jc w:val="center"/>
        </w:trPr>
        <w:tc>
          <w:tcPr>
            <w:tcW w:w="2958" w:type="pct"/>
            <w:tcBorders>
              <w:top w:val="single" w:color="auto" w:sz="4" w:space="0"/>
              <w:left w:val="single" w:color="auto" w:sz="4" w:space="0"/>
              <w:bottom w:val="single" w:color="000000"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十四五</w:t>
            </w:r>
            <w:r>
              <w:rPr>
                <w:rFonts w:hint="eastAsia"/>
                <w:color w:val="000000" w:themeColor="text1"/>
                <w:kern w:val="0"/>
                <w:sz w:val="24"/>
                <w:szCs w:val="24"/>
                <w14:textFill>
                  <w14:solidFill>
                    <w14:schemeClr w14:val="tx1"/>
                  </w14:solidFill>
                </w14:textFill>
              </w:rPr>
              <w:t>”达到</w:t>
            </w:r>
            <w:r>
              <w:rPr>
                <w:color w:val="000000" w:themeColor="text1"/>
                <w:kern w:val="0"/>
                <w:sz w:val="24"/>
                <w:szCs w:val="24"/>
                <w14:textFill>
                  <w14:solidFill>
                    <w14:schemeClr w14:val="tx1"/>
                  </w14:solidFill>
                </w14:textFill>
              </w:rPr>
              <w:t>总数</w:t>
            </w:r>
          </w:p>
        </w:tc>
        <w:tc>
          <w:tcPr>
            <w:tcW w:w="2041" w:type="pct"/>
            <w:tcBorders>
              <w:top w:val="single" w:color="auto" w:sz="4" w:space="0"/>
              <w:left w:val="nil"/>
              <w:bottom w:val="single" w:color="auto" w:sz="4" w:space="0"/>
              <w:right w:val="single" w:color="auto" w:sz="4" w:space="0"/>
            </w:tcBorders>
            <w:vAlign w:val="center"/>
          </w:tcPr>
          <w:p>
            <w:pPr>
              <w:widowControl/>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7258</w:t>
            </w:r>
          </w:p>
        </w:tc>
      </w:tr>
    </w:tbl>
    <w:p>
      <w:pPr>
        <w:rPr>
          <w:color w:val="000000" w:themeColor="text1"/>
          <w14:textFill>
            <w14:solidFill>
              <w14:schemeClr w14:val="tx1"/>
            </w14:solidFill>
          </w14:textFill>
        </w:rPr>
      </w:pPr>
    </w:p>
    <w:p>
      <w:pPr>
        <w:pStyle w:val="2"/>
        <w:jc w:val="center"/>
        <w:rPr>
          <w:b/>
          <w:bCs/>
          <w:color w:val="000000" w:themeColor="text1"/>
          <w:kern w:val="2"/>
          <w:sz w:val="28"/>
          <w:szCs w:val="28"/>
          <w14:textFill>
            <w14:solidFill>
              <w14:schemeClr w14:val="tx1"/>
            </w14:solidFill>
          </w14:textFill>
        </w:rPr>
      </w:pPr>
    </w:p>
    <w:p>
      <w:pPr>
        <w:pStyle w:val="2"/>
        <w:jc w:val="center"/>
        <w:rPr>
          <w:b/>
          <w:bCs/>
          <w:color w:val="000000" w:themeColor="text1"/>
          <w:kern w:val="2"/>
          <w:sz w:val="28"/>
          <w:szCs w:val="28"/>
          <w14:textFill>
            <w14:solidFill>
              <w14:schemeClr w14:val="tx1"/>
            </w14:solidFill>
          </w14:textFill>
        </w:rPr>
      </w:pP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银川市“十四五”消防站建设规划表</w:t>
      </w:r>
    </w:p>
    <w:tbl>
      <w:tblPr>
        <w:tblStyle w:val="15"/>
        <w:tblW w:w="9437" w:type="dxa"/>
        <w:tblInd w:w="0" w:type="dxa"/>
        <w:tblLayout w:type="fixed"/>
        <w:tblCellMar>
          <w:top w:w="0" w:type="dxa"/>
          <w:left w:w="0" w:type="dxa"/>
          <w:bottom w:w="0" w:type="dxa"/>
          <w:right w:w="0" w:type="dxa"/>
        </w:tblCellMar>
      </w:tblPr>
      <w:tblGrid>
        <w:gridCol w:w="400"/>
        <w:gridCol w:w="706"/>
        <w:gridCol w:w="784"/>
        <w:gridCol w:w="737"/>
        <w:gridCol w:w="1397"/>
        <w:gridCol w:w="732"/>
        <w:gridCol w:w="1098"/>
        <w:gridCol w:w="1166"/>
        <w:gridCol w:w="1208"/>
        <w:gridCol w:w="1209"/>
      </w:tblGrid>
      <w:tr>
        <w:tblPrEx>
          <w:tblCellMar>
            <w:top w:w="0" w:type="dxa"/>
            <w:left w:w="0" w:type="dxa"/>
            <w:bottom w:w="0" w:type="dxa"/>
            <w:right w:w="0" w:type="dxa"/>
          </w:tblCellMar>
        </w:tblPrEx>
        <w:trPr>
          <w:trHeight w:val="285" w:hRule="atLeast"/>
        </w:trPr>
        <w:tc>
          <w:tcPr>
            <w:tcW w:w="1106"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城市消防站分类</w:t>
            </w:r>
          </w:p>
        </w:tc>
        <w:tc>
          <w:tcPr>
            <w:tcW w:w="15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辖区面积（km</w:t>
            </w:r>
            <w:r>
              <w:rPr>
                <w:rFonts w:hint="eastAsia"/>
                <w:color w:val="000000" w:themeColor="text1"/>
                <w:kern w:val="0"/>
                <w:sz w:val="24"/>
                <w:szCs w:val="24"/>
                <w:vertAlign w:val="superscript"/>
                <w14:textFill>
                  <w14:solidFill>
                    <w14:schemeClr w14:val="tx1"/>
                  </w14:solidFill>
                </w14:textFill>
              </w:rPr>
              <w:t>2</w:t>
            </w:r>
            <w:r>
              <w:rPr>
                <w:rFonts w:hint="eastAsia"/>
                <w:color w:val="000000" w:themeColor="text1"/>
                <w:kern w:val="0"/>
                <w:sz w:val="24"/>
                <w:szCs w:val="24"/>
                <w14:textFill>
                  <w14:solidFill>
                    <w14:schemeClr w14:val="tx1"/>
                  </w14:solidFill>
                </w14:textFill>
              </w:rPr>
              <w:t>）</w:t>
            </w:r>
          </w:p>
        </w:tc>
        <w:tc>
          <w:tcPr>
            <w:tcW w:w="139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规划用地面积（m</w:t>
            </w:r>
            <w:r>
              <w:rPr>
                <w:rFonts w:hint="eastAsia"/>
                <w:color w:val="000000" w:themeColor="text1"/>
                <w:kern w:val="0"/>
                <w:sz w:val="24"/>
                <w:szCs w:val="24"/>
                <w:vertAlign w:val="superscript"/>
                <w14:textFill>
                  <w14:solidFill>
                    <w14:schemeClr w14:val="tx1"/>
                  </w14:solidFill>
                </w14:textFill>
              </w:rPr>
              <w:t>2</w:t>
            </w:r>
            <w:r>
              <w:rPr>
                <w:rFonts w:hint="eastAsia"/>
                <w:color w:val="000000" w:themeColor="text1"/>
                <w:kern w:val="0"/>
                <w:sz w:val="24"/>
                <w:szCs w:val="24"/>
                <w14:textFill>
                  <w14:solidFill>
                    <w14:schemeClr w14:val="tx1"/>
                  </w14:solidFill>
                </w14:textFill>
              </w:rPr>
              <w:t>）</w:t>
            </w:r>
          </w:p>
        </w:tc>
        <w:tc>
          <w:tcPr>
            <w:tcW w:w="73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容积率</w:t>
            </w:r>
          </w:p>
        </w:tc>
        <w:tc>
          <w:tcPr>
            <w:tcW w:w="226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建设标准</w:t>
            </w:r>
          </w:p>
        </w:tc>
        <w:tc>
          <w:tcPr>
            <w:tcW w:w="120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人员配备（人）</w:t>
            </w:r>
          </w:p>
        </w:tc>
        <w:tc>
          <w:tcPr>
            <w:tcW w:w="120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车辆配置（辆）</w:t>
            </w:r>
          </w:p>
        </w:tc>
      </w:tr>
      <w:tr>
        <w:tblPrEx>
          <w:tblCellMar>
            <w:top w:w="0" w:type="dxa"/>
            <w:left w:w="0" w:type="dxa"/>
            <w:bottom w:w="0" w:type="dxa"/>
            <w:right w:w="0" w:type="dxa"/>
          </w:tblCellMar>
        </w:tblPrEx>
        <w:trPr>
          <w:trHeight w:val="285" w:hRule="atLeast"/>
        </w:trPr>
        <w:tc>
          <w:tcPr>
            <w:tcW w:w="1106"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类型</w:t>
            </w:r>
          </w:p>
        </w:tc>
        <w:tc>
          <w:tcPr>
            <w:tcW w:w="7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面积（≤）</w:t>
            </w:r>
          </w:p>
        </w:tc>
        <w:tc>
          <w:tcPr>
            <w:tcW w:w="139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3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车库车位（个）</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建筑面积（m</w:t>
            </w:r>
            <w:r>
              <w:rPr>
                <w:rFonts w:hint="eastAsia"/>
                <w:color w:val="000000" w:themeColor="text1"/>
                <w:kern w:val="0"/>
                <w:sz w:val="24"/>
                <w:szCs w:val="24"/>
                <w:vertAlign w:val="superscript"/>
                <w14:textFill>
                  <w14:solidFill>
                    <w14:schemeClr w14:val="tx1"/>
                  </w14:solidFill>
                </w14:textFill>
              </w:rPr>
              <w:t>2</w:t>
            </w:r>
            <w:r>
              <w:rPr>
                <w:rFonts w:hint="eastAsia"/>
                <w:color w:val="000000" w:themeColor="text1"/>
                <w:kern w:val="0"/>
                <w:sz w:val="24"/>
                <w:szCs w:val="24"/>
                <w14:textFill>
                  <w14:solidFill>
                    <w14:schemeClr w14:val="tx1"/>
                  </w14:solidFill>
                </w14:textFill>
              </w:rPr>
              <w:t>）</w:t>
            </w:r>
          </w:p>
        </w:tc>
        <w:tc>
          <w:tcPr>
            <w:tcW w:w="12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20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285" w:hRule="atLeast"/>
        </w:trPr>
        <w:tc>
          <w:tcPr>
            <w:tcW w:w="4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普通站</w:t>
            </w: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一级</w:t>
            </w:r>
          </w:p>
        </w:tc>
        <w:tc>
          <w:tcPr>
            <w:tcW w:w="78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城区</w:t>
            </w:r>
          </w:p>
        </w:tc>
        <w:tc>
          <w:tcPr>
            <w:tcW w:w="7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7</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5400-8000</w:t>
            </w:r>
          </w:p>
        </w:tc>
        <w:tc>
          <w:tcPr>
            <w:tcW w:w="73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0.5-0.6</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6--8</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2700-4000</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30-45</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5--7</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二级</w:t>
            </w:r>
          </w:p>
        </w:tc>
        <w:tc>
          <w:tcPr>
            <w:tcW w:w="7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3600-5400</w:t>
            </w:r>
          </w:p>
        </w:tc>
        <w:tc>
          <w:tcPr>
            <w:tcW w:w="73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3--5</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1800-2700</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15-25</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2--4</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小型</w:t>
            </w:r>
          </w:p>
        </w:tc>
        <w:tc>
          <w:tcPr>
            <w:tcW w:w="78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1300-2000</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0.8-0.9</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650-1000</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15</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49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近郊区</w:t>
            </w:r>
          </w:p>
        </w:tc>
        <w:tc>
          <w:tcPr>
            <w:tcW w:w="7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15</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按类型</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按类型</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按类型</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按类型</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按类型</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按类型</w:t>
            </w:r>
          </w:p>
        </w:tc>
      </w:tr>
      <w:tr>
        <w:tblPrEx>
          <w:tblCellMar>
            <w:top w:w="0" w:type="dxa"/>
            <w:left w:w="0" w:type="dxa"/>
            <w:bottom w:w="0" w:type="dxa"/>
            <w:right w:w="0" w:type="dxa"/>
          </w:tblCellMar>
        </w:tblPrEx>
        <w:trPr>
          <w:trHeight w:val="285" w:hRule="atLeast"/>
        </w:trPr>
        <w:tc>
          <w:tcPr>
            <w:tcW w:w="1106"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特勤站</w:t>
            </w:r>
          </w:p>
        </w:tc>
        <w:tc>
          <w:tcPr>
            <w:tcW w:w="7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兼有灭火任务</w:t>
            </w:r>
          </w:p>
        </w:tc>
        <w:tc>
          <w:tcPr>
            <w:tcW w:w="7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7</w:t>
            </w:r>
          </w:p>
        </w:tc>
        <w:tc>
          <w:tcPr>
            <w:tcW w:w="139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8000-11200</w:t>
            </w:r>
          </w:p>
        </w:tc>
        <w:tc>
          <w:tcPr>
            <w:tcW w:w="73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0.5-0.6</w:t>
            </w:r>
          </w:p>
        </w:tc>
        <w:tc>
          <w:tcPr>
            <w:tcW w:w="109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9--12</w:t>
            </w:r>
          </w:p>
        </w:tc>
        <w:tc>
          <w:tcPr>
            <w:tcW w:w="116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4000-5600</w:t>
            </w:r>
          </w:p>
        </w:tc>
        <w:tc>
          <w:tcPr>
            <w:tcW w:w="120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45-60</w:t>
            </w:r>
          </w:p>
        </w:tc>
        <w:tc>
          <w:tcPr>
            <w:tcW w:w="120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8--11</w:t>
            </w:r>
          </w:p>
        </w:tc>
      </w:tr>
      <w:tr>
        <w:tblPrEx>
          <w:tblCellMar>
            <w:top w:w="0" w:type="dxa"/>
            <w:left w:w="0" w:type="dxa"/>
            <w:bottom w:w="0" w:type="dxa"/>
            <w:right w:w="0" w:type="dxa"/>
          </w:tblCellMar>
        </w:tblPrEx>
        <w:trPr>
          <w:trHeight w:val="285" w:hRule="atLeast"/>
        </w:trPr>
        <w:tc>
          <w:tcPr>
            <w:tcW w:w="1106"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无灭火任务</w:t>
            </w:r>
          </w:p>
        </w:tc>
        <w:tc>
          <w:tcPr>
            <w:tcW w:w="7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39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3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09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20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20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285" w:hRule="atLeast"/>
        </w:trPr>
        <w:tc>
          <w:tcPr>
            <w:tcW w:w="110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战勤保障站</w:t>
            </w:r>
          </w:p>
        </w:tc>
        <w:tc>
          <w:tcPr>
            <w:tcW w:w="15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9200-13600</w:t>
            </w:r>
          </w:p>
        </w:tc>
        <w:tc>
          <w:tcPr>
            <w:tcW w:w="73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09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4600-6800</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40-55</w:t>
            </w:r>
          </w:p>
        </w:tc>
        <w:tc>
          <w:tcPr>
            <w:tcW w:w="120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780" w:hRule="atLeast"/>
        </w:trPr>
        <w:tc>
          <w:tcPr>
            <w:tcW w:w="40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乡镇消防站</w:t>
            </w:r>
          </w:p>
        </w:tc>
        <w:tc>
          <w:tcPr>
            <w:tcW w:w="9037" w:type="dxa"/>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经济发达、城镇化水平较高地区以及相邻乡镇联合建立的消防站按照《城市消防站建设标准（建标152-2017）》管理。距城市消防站较远乡镇按下表建立。</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一级</w:t>
            </w:r>
          </w:p>
        </w:tc>
        <w:tc>
          <w:tcPr>
            <w:tcW w:w="1521"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根据实际情况确定</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1000-1200</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600-700</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15</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2--4</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二级</w:t>
            </w:r>
          </w:p>
        </w:tc>
        <w:tc>
          <w:tcPr>
            <w:tcW w:w="1521"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700-850</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400-500</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10</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1--3</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志愿</w:t>
            </w:r>
          </w:p>
        </w:tc>
        <w:tc>
          <w:tcPr>
            <w:tcW w:w="1521"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350-500</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200-250</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8</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4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专业站</w:t>
            </w: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水上</w:t>
            </w:r>
          </w:p>
        </w:tc>
        <w:tc>
          <w:tcPr>
            <w:tcW w:w="15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至辖区边缘不大于30km</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2300-3800</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3--4</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航空</w:t>
            </w:r>
          </w:p>
        </w:tc>
        <w:tc>
          <w:tcPr>
            <w:tcW w:w="152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城市规划区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3900-5600</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4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微型站</w:t>
            </w: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单位一级</w:t>
            </w:r>
          </w:p>
        </w:tc>
        <w:tc>
          <w:tcPr>
            <w:tcW w:w="1521"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所辖单位</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150-200</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8</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单位二级</w:t>
            </w:r>
          </w:p>
        </w:tc>
        <w:tc>
          <w:tcPr>
            <w:tcW w:w="1521"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6</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单位三级</w:t>
            </w:r>
          </w:p>
        </w:tc>
        <w:tc>
          <w:tcPr>
            <w:tcW w:w="1521"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社区一级</w:t>
            </w:r>
          </w:p>
        </w:tc>
        <w:tc>
          <w:tcPr>
            <w:tcW w:w="1521" w:type="dxa"/>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所辖社区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8</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社区二级</w:t>
            </w:r>
          </w:p>
        </w:tc>
        <w:tc>
          <w:tcPr>
            <w:tcW w:w="1521"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6</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4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社区三级</w:t>
            </w:r>
          </w:p>
        </w:tc>
        <w:tc>
          <w:tcPr>
            <w:tcW w:w="1521"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3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1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12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w:t>
            </w:r>
          </w:p>
        </w:tc>
        <w:tc>
          <w:tcPr>
            <w:tcW w:w="12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bl>
    <w:p>
      <w:pPr>
        <w:widowControl/>
        <w:jc w:val="left"/>
        <w:rPr>
          <w:rFonts w:ascii="宋体" w:hAnsi="宋体" w:cs="宋体"/>
          <w:i/>
          <w:iCs/>
          <w:color w:val="000000" w:themeColor="text1"/>
          <w:sz w:val="22"/>
          <w:szCs w:val="22"/>
          <w14:textFill>
            <w14:solidFill>
              <w14:schemeClr w14:val="tx1"/>
            </w14:solidFill>
          </w14:textFill>
        </w:rPr>
      </w:pPr>
      <w:r>
        <w:rPr>
          <w:rFonts w:hint="eastAsia" w:ascii="宋体" w:hAnsi="宋体" w:cs="宋体"/>
          <w:i/>
          <w:iCs/>
          <w:color w:val="000000" w:themeColor="text1"/>
          <w:sz w:val="22"/>
          <w:szCs w:val="22"/>
          <w14:textFill>
            <w14:solidFill>
              <w14:schemeClr w14:val="tx1"/>
            </w14:solidFill>
          </w14:textFill>
        </w:rPr>
        <w:t>注：普通站、特勤站、战勤保障站中人员配备中消防员数量为一个班次同时执勤人数。</w:t>
      </w:r>
    </w:p>
    <w:p>
      <w:pPr>
        <w:jc w:val="center"/>
        <w:rPr>
          <w:b/>
          <w:bCs/>
          <w:color w:val="000000" w:themeColor="text1"/>
          <w:sz w:val="28"/>
          <w:szCs w:val="28"/>
          <w14:textFill>
            <w14:solidFill>
              <w14:schemeClr w14:val="tx1"/>
            </w14:solidFill>
          </w14:textFill>
        </w:rPr>
      </w:pPr>
    </w:p>
    <w:p>
      <w:pPr>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银川市“十四五”消防救援队伍执勤车辆建设规划表</w:t>
      </w:r>
    </w:p>
    <w:tbl>
      <w:tblPr>
        <w:tblStyle w:val="15"/>
        <w:tblW w:w="4998" w:type="pct"/>
        <w:tblInd w:w="0" w:type="dxa"/>
        <w:tblLayout w:type="autofit"/>
        <w:tblCellMar>
          <w:top w:w="0" w:type="dxa"/>
          <w:left w:w="0" w:type="dxa"/>
          <w:bottom w:w="0" w:type="dxa"/>
          <w:right w:w="0" w:type="dxa"/>
        </w:tblCellMar>
      </w:tblPr>
      <w:tblGrid>
        <w:gridCol w:w="1877"/>
        <w:gridCol w:w="2405"/>
        <w:gridCol w:w="823"/>
        <w:gridCol w:w="824"/>
        <w:gridCol w:w="824"/>
        <w:gridCol w:w="824"/>
        <w:gridCol w:w="1351"/>
      </w:tblGrid>
      <w:tr>
        <w:tblPrEx>
          <w:tblCellMar>
            <w:top w:w="0" w:type="dxa"/>
            <w:left w:w="0" w:type="dxa"/>
            <w:bottom w:w="0" w:type="dxa"/>
            <w:right w:w="0" w:type="dxa"/>
          </w:tblCellMar>
        </w:tblPrEx>
        <w:trPr>
          <w:trHeight w:val="285" w:hRule="atLeast"/>
        </w:trPr>
        <w:tc>
          <w:tcPr>
            <w:tcW w:w="2398" w:type="pct"/>
            <w:gridSpan w:val="2"/>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消防站类别</w:t>
            </w:r>
          </w:p>
        </w:tc>
        <w:tc>
          <w:tcPr>
            <w:tcW w:w="1383"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普通站</w:t>
            </w:r>
          </w:p>
        </w:tc>
        <w:tc>
          <w:tcPr>
            <w:tcW w:w="461"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特勤站</w:t>
            </w:r>
          </w:p>
        </w:tc>
        <w:tc>
          <w:tcPr>
            <w:tcW w:w="756"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战勤保障站</w:t>
            </w:r>
          </w:p>
        </w:tc>
      </w:tr>
      <w:tr>
        <w:tblPrEx>
          <w:tblCellMar>
            <w:top w:w="0" w:type="dxa"/>
            <w:left w:w="0" w:type="dxa"/>
            <w:bottom w:w="0" w:type="dxa"/>
            <w:right w:w="0" w:type="dxa"/>
          </w:tblCellMar>
        </w:tblPrEx>
        <w:trPr>
          <w:trHeight w:val="285" w:hRule="atLeast"/>
        </w:trPr>
        <w:tc>
          <w:tcPr>
            <w:tcW w:w="2398" w:type="pct"/>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一级站</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二级站</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小型站</w:t>
            </w:r>
          </w:p>
        </w:tc>
        <w:tc>
          <w:tcPr>
            <w:tcW w:w="461"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70" w:hRule="atLeast"/>
        </w:trPr>
        <w:tc>
          <w:tcPr>
            <w:tcW w:w="105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灭火消防车</w:t>
            </w: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水罐或泡沫消火栓</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46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w:t>
            </w:r>
          </w:p>
        </w:tc>
        <w:tc>
          <w:tcPr>
            <w:tcW w:w="756"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380"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压缩空气泡沫消火栓</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泡沫干粉联用消防车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干粉消防车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380" w:hRule="atLeast"/>
        </w:trPr>
        <w:tc>
          <w:tcPr>
            <w:tcW w:w="105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举高消防车</w:t>
            </w: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登高平台消防车</w:t>
            </w:r>
          </w:p>
        </w:tc>
        <w:tc>
          <w:tcPr>
            <w:tcW w:w="46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c>
          <w:tcPr>
            <w:tcW w:w="46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c>
          <w:tcPr>
            <w:tcW w:w="756"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云梯消防车</w:t>
            </w:r>
          </w:p>
        </w:tc>
        <w:tc>
          <w:tcPr>
            <w:tcW w:w="46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46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46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46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2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举高喷射消防车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46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25" w:hRule="atLeast"/>
        </w:trPr>
        <w:tc>
          <w:tcPr>
            <w:tcW w:w="105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专勤消防车</w:t>
            </w: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抢险救援消防车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c>
          <w:tcPr>
            <w:tcW w:w="756"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排烟消防车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明消防车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化学事故抢险救援</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40"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防化洗消消防车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5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核生化侦检消防车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440"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通信指挥消防车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285" w:hRule="atLeast"/>
        </w:trPr>
        <w:tc>
          <w:tcPr>
            <w:tcW w:w="1051"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战勤保障消防车</w:t>
            </w: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供气消防车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器材消防车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供液消防车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供水消防车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39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自装卸式消防车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装备抢修车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饮食保障车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加油车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运兵车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宿营车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卫勤保障车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发电车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淋浴车</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570" w:hRule="atLeast"/>
        </w:trPr>
        <w:tc>
          <w:tcPr>
            <w:tcW w:w="1051"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13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工程机械车辆</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r>
        <w:tblPrEx>
          <w:tblCellMar>
            <w:top w:w="0" w:type="dxa"/>
            <w:left w:w="0" w:type="dxa"/>
            <w:bottom w:w="0" w:type="dxa"/>
            <w:right w:w="0" w:type="dxa"/>
          </w:tblCellMar>
        </w:tblPrEx>
        <w:trPr>
          <w:trHeight w:val="285" w:hRule="atLeast"/>
        </w:trPr>
        <w:tc>
          <w:tcPr>
            <w:tcW w:w="2398"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消防摩托车</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c>
          <w:tcPr>
            <w:tcW w:w="7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p>
        </w:tc>
      </w:tr>
    </w:tbl>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rFonts w:hint="eastAsia"/>
          <w:b/>
          <w:bCs/>
          <w:color w:val="000000" w:themeColor="text1"/>
          <w:sz w:val="28"/>
          <w:szCs w:val="28"/>
          <w14:textFill>
            <w14:solidFill>
              <w14:schemeClr w14:val="tx1"/>
            </w14:solidFill>
          </w14:textFill>
        </w:rPr>
        <w:t>银川市“十四五”消防救援队伍灭火器材建设规划表</w:t>
      </w:r>
    </w:p>
    <w:tbl>
      <w:tblPr>
        <w:tblStyle w:val="15"/>
        <w:tblW w:w="4997" w:type="pct"/>
        <w:tblInd w:w="0" w:type="dxa"/>
        <w:tblLayout w:type="autofit"/>
        <w:tblCellMar>
          <w:top w:w="0" w:type="dxa"/>
          <w:left w:w="0" w:type="dxa"/>
          <w:bottom w:w="0" w:type="dxa"/>
          <w:right w:w="0" w:type="dxa"/>
        </w:tblCellMar>
      </w:tblPr>
      <w:tblGrid>
        <w:gridCol w:w="3870"/>
        <w:gridCol w:w="1259"/>
        <w:gridCol w:w="1261"/>
        <w:gridCol w:w="1221"/>
        <w:gridCol w:w="1316"/>
      </w:tblGrid>
      <w:tr>
        <w:tblPrEx>
          <w:tblCellMar>
            <w:top w:w="0" w:type="dxa"/>
            <w:left w:w="0" w:type="dxa"/>
            <w:bottom w:w="0" w:type="dxa"/>
            <w:right w:w="0" w:type="dxa"/>
          </w:tblCellMar>
        </w:tblPrEx>
        <w:trPr>
          <w:trHeight w:val="285" w:hRule="atLeast"/>
        </w:trPr>
        <w:tc>
          <w:tcPr>
            <w:tcW w:w="2167"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消防站类别及名称</w:t>
            </w:r>
          </w:p>
        </w:tc>
        <w:tc>
          <w:tcPr>
            <w:tcW w:w="2095" w:type="pct"/>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普通站</w:t>
            </w:r>
          </w:p>
        </w:tc>
        <w:tc>
          <w:tcPr>
            <w:tcW w:w="737" w:type="pct"/>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特勤站</w:t>
            </w:r>
          </w:p>
        </w:tc>
      </w:tr>
      <w:tr>
        <w:tblPrEx>
          <w:tblCellMar>
            <w:top w:w="0" w:type="dxa"/>
            <w:left w:w="0" w:type="dxa"/>
            <w:bottom w:w="0" w:type="dxa"/>
            <w:right w:w="0" w:type="dxa"/>
          </w:tblCellMar>
        </w:tblPrEx>
        <w:trPr>
          <w:trHeight w:val="285" w:hRule="atLeast"/>
        </w:trPr>
        <w:tc>
          <w:tcPr>
            <w:tcW w:w="216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一级站</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二级站</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小型站</w:t>
            </w:r>
          </w:p>
        </w:tc>
        <w:tc>
          <w:tcPr>
            <w:tcW w:w="737"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p>
        </w:tc>
      </w:tr>
      <w:tr>
        <w:tblPrEx>
          <w:tblCellMar>
            <w:top w:w="0" w:type="dxa"/>
            <w:left w:w="0" w:type="dxa"/>
            <w:bottom w:w="0" w:type="dxa"/>
            <w:right w:w="0" w:type="dxa"/>
          </w:tblCellMar>
        </w:tblPrEx>
        <w:trPr>
          <w:trHeight w:val="285" w:hRule="atLeast"/>
        </w:trPr>
        <w:tc>
          <w:tcPr>
            <w:tcW w:w="21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机动消防泵（含手抬泵、浮艇泵）</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2台</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2台</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2台</w:t>
            </w:r>
          </w:p>
        </w:tc>
        <w:tc>
          <w:tcPr>
            <w:tcW w:w="7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3台</w:t>
            </w:r>
          </w:p>
        </w:tc>
      </w:tr>
      <w:tr>
        <w:tblPrEx>
          <w:tblCellMar>
            <w:top w:w="0" w:type="dxa"/>
            <w:left w:w="0" w:type="dxa"/>
            <w:bottom w:w="0" w:type="dxa"/>
            <w:right w:w="0" w:type="dxa"/>
          </w:tblCellMar>
        </w:tblPrEx>
        <w:trPr>
          <w:trHeight w:val="285" w:hRule="atLeast"/>
        </w:trPr>
        <w:tc>
          <w:tcPr>
            <w:tcW w:w="21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移动式水带卷盘或水带槽</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2个</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2个</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2个</w:t>
            </w:r>
          </w:p>
        </w:tc>
        <w:tc>
          <w:tcPr>
            <w:tcW w:w="7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3个</w:t>
            </w:r>
          </w:p>
        </w:tc>
      </w:tr>
      <w:tr>
        <w:tblPrEx>
          <w:tblCellMar>
            <w:top w:w="0" w:type="dxa"/>
            <w:left w:w="0" w:type="dxa"/>
            <w:bottom w:w="0" w:type="dxa"/>
            <w:right w:w="0" w:type="dxa"/>
          </w:tblCellMar>
        </w:tblPrEx>
        <w:trPr>
          <w:trHeight w:val="570" w:hRule="atLeast"/>
        </w:trPr>
        <w:tc>
          <w:tcPr>
            <w:tcW w:w="21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移动式消防炮（手动炮、遥控炮、自摆炮等）</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3门</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2门</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2门</w:t>
            </w:r>
          </w:p>
        </w:tc>
        <w:tc>
          <w:tcPr>
            <w:tcW w:w="7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3门</w:t>
            </w:r>
          </w:p>
        </w:tc>
      </w:tr>
      <w:tr>
        <w:tblPrEx>
          <w:tblCellMar>
            <w:top w:w="0" w:type="dxa"/>
            <w:left w:w="0" w:type="dxa"/>
            <w:bottom w:w="0" w:type="dxa"/>
            <w:right w:w="0" w:type="dxa"/>
          </w:tblCellMar>
        </w:tblPrEx>
        <w:trPr>
          <w:trHeight w:val="285" w:hRule="atLeast"/>
        </w:trPr>
        <w:tc>
          <w:tcPr>
            <w:tcW w:w="21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泡沫比例混合器、泡沫液桶、泡沫枪</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2套</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2套</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2套</w:t>
            </w:r>
          </w:p>
        </w:tc>
        <w:tc>
          <w:tcPr>
            <w:tcW w:w="7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2套</w:t>
            </w:r>
          </w:p>
        </w:tc>
      </w:tr>
      <w:tr>
        <w:tblPrEx>
          <w:tblCellMar>
            <w:top w:w="0" w:type="dxa"/>
            <w:left w:w="0" w:type="dxa"/>
            <w:bottom w:w="0" w:type="dxa"/>
            <w:right w:w="0" w:type="dxa"/>
          </w:tblCellMar>
        </w:tblPrEx>
        <w:trPr>
          <w:trHeight w:val="285" w:hRule="atLeast"/>
        </w:trPr>
        <w:tc>
          <w:tcPr>
            <w:tcW w:w="21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二节拉梯</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3架</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2架</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2架</w:t>
            </w:r>
          </w:p>
        </w:tc>
        <w:tc>
          <w:tcPr>
            <w:tcW w:w="7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3架</w:t>
            </w:r>
          </w:p>
        </w:tc>
      </w:tr>
      <w:tr>
        <w:tblPrEx>
          <w:tblCellMar>
            <w:top w:w="0" w:type="dxa"/>
            <w:left w:w="0" w:type="dxa"/>
            <w:bottom w:w="0" w:type="dxa"/>
            <w:right w:w="0" w:type="dxa"/>
          </w:tblCellMar>
        </w:tblPrEx>
        <w:trPr>
          <w:trHeight w:val="285" w:hRule="atLeast"/>
        </w:trPr>
        <w:tc>
          <w:tcPr>
            <w:tcW w:w="21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三节拉梯</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2架</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1架</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1架</w:t>
            </w:r>
          </w:p>
        </w:tc>
        <w:tc>
          <w:tcPr>
            <w:tcW w:w="7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2架</w:t>
            </w:r>
          </w:p>
        </w:tc>
      </w:tr>
      <w:tr>
        <w:tblPrEx>
          <w:tblCellMar>
            <w:top w:w="0" w:type="dxa"/>
            <w:left w:w="0" w:type="dxa"/>
            <w:bottom w:w="0" w:type="dxa"/>
            <w:right w:w="0" w:type="dxa"/>
          </w:tblCellMar>
        </w:tblPrEx>
        <w:trPr>
          <w:trHeight w:val="285" w:hRule="atLeast"/>
        </w:trPr>
        <w:tc>
          <w:tcPr>
            <w:tcW w:w="21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挂钩梯</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3架</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2架</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2架</w:t>
            </w:r>
          </w:p>
        </w:tc>
        <w:tc>
          <w:tcPr>
            <w:tcW w:w="7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3架</w:t>
            </w:r>
          </w:p>
        </w:tc>
      </w:tr>
      <w:tr>
        <w:tblPrEx>
          <w:tblCellMar>
            <w:top w:w="0" w:type="dxa"/>
            <w:left w:w="0" w:type="dxa"/>
            <w:bottom w:w="0" w:type="dxa"/>
            <w:right w:w="0" w:type="dxa"/>
          </w:tblCellMar>
        </w:tblPrEx>
        <w:trPr>
          <w:trHeight w:val="285" w:hRule="atLeast"/>
        </w:trPr>
        <w:tc>
          <w:tcPr>
            <w:tcW w:w="21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低压水带</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2000m</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1200m</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1200m</w:t>
            </w:r>
          </w:p>
        </w:tc>
        <w:tc>
          <w:tcPr>
            <w:tcW w:w="7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2800m</w:t>
            </w:r>
          </w:p>
        </w:tc>
      </w:tr>
      <w:tr>
        <w:tblPrEx>
          <w:tblCellMar>
            <w:top w:w="0" w:type="dxa"/>
            <w:left w:w="0" w:type="dxa"/>
            <w:bottom w:w="0" w:type="dxa"/>
            <w:right w:w="0" w:type="dxa"/>
          </w:tblCellMar>
        </w:tblPrEx>
        <w:trPr>
          <w:trHeight w:val="285" w:hRule="atLeast"/>
        </w:trPr>
        <w:tc>
          <w:tcPr>
            <w:tcW w:w="216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中压水带</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500m</w:t>
            </w:r>
          </w:p>
        </w:tc>
        <w:tc>
          <w:tcPr>
            <w:tcW w:w="70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500m</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500m</w:t>
            </w:r>
          </w:p>
        </w:tc>
        <w:tc>
          <w:tcPr>
            <w:tcW w:w="73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1000m</w:t>
            </w:r>
          </w:p>
        </w:tc>
      </w:tr>
      <w:tr>
        <w:tblPrEx>
          <w:tblCellMar>
            <w:top w:w="0" w:type="dxa"/>
            <w:left w:w="0" w:type="dxa"/>
            <w:bottom w:w="0" w:type="dxa"/>
            <w:right w:w="0" w:type="dxa"/>
          </w:tblCellMar>
        </w:tblPrEx>
        <w:trPr>
          <w:trHeight w:val="855" w:hRule="atLeast"/>
        </w:trPr>
        <w:tc>
          <w:tcPr>
            <w:tcW w:w="21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消火栓扳手、水枪、分水器以及接口、包布、护桥、挂钩、墙角保护器等常规器材工具</w:t>
            </w:r>
          </w:p>
        </w:tc>
        <w:tc>
          <w:tcPr>
            <w:tcW w:w="2832" w:type="pct"/>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按所配车辆技术标准要求配备，并按不小于2：1的备份比备份</w:t>
            </w:r>
          </w:p>
        </w:tc>
      </w:tr>
    </w:tbl>
    <w:p>
      <w:pPr>
        <w:pStyle w:val="2"/>
        <w:rPr>
          <w:color w:val="000000" w:themeColor="text1"/>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pStyle w:val="2"/>
        <w:rPr>
          <w:rFonts w:eastAsia="楷体_GB2312"/>
          <w:b/>
          <w:color w:val="000000" w:themeColor="text1"/>
          <w:sz w:val="32"/>
          <w:szCs w:val="32"/>
          <w14:textFill>
            <w14:solidFill>
              <w14:schemeClr w14:val="tx1"/>
            </w14:solidFill>
          </w14:textFill>
        </w:rPr>
      </w:pPr>
    </w:p>
    <w:p>
      <w:pPr>
        <w:jc w:val="center"/>
        <w:rPr>
          <w:b/>
          <w:bCs/>
          <w:color w:val="000000" w:themeColor="text1"/>
          <w:sz w:val="32"/>
          <w:szCs w:val="32"/>
          <w14:textFill>
            <w14:solidFill>
              <w14:schemeClr w14:val="tx1"/>
            </w14:solidFill>
          </w14:textFill>
        </w:rPr>
      </w:pPr>
      <w:bookmarkStart w:id="209" w:name="_Toc481"/>
      <w:r>
        <w:rPr>
          <w:rFonts w:hint="eastAsia"/>
          <w:b/>
          <w:bCs/>
          <w:color w:val="000000" w:themeColor="text1"/>
          <w:sz w:val="32"/>
          <w:szCs w:val="32"/>
          <w14:textFill>
            <w14:solidFill>
              <w14:schemeClr w14:val="tx1"/>
            </w14:solidFill>
          </w14:textFill>
        </w:rPr>
        <w:t>火灾风险评估</w:t>
      </w:r>
    </w:p>
    <w:p>
      <w:pPr>
        <w:rPr>
          <w:rFonts w:ascii="黑体" w:hAnsi="黑体" w:eastAsia="黑体" w:cs="黑体"/>
          <w:b/>
          <w:bCs/>
          <w:sz w:val="32"/>
          <w:szCs w:val="32"/>
        </w:rPr>
      </w:pPr>
      <w:r>
        <w:rPr>
          <w:rFonts w:hint="eastAsia" w:ascii="黑体" w:hAnsi="黑体" w:eastAsia="黑体" w:cs="黑体"/>
          <w:b/>
          <w:bCs/>
          <w:sz w:val="32"/>
          <w:szCs w:val="32"/>
        </w:rPr>
        <w:t>1评估方法选择——火灾风险指数法</w:t>
      </w:r>
      <w:bookmarkEnd w:id="209"/>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火灾风险指数法”属于定量分析方法，是火灾风险评估常用方法之一，包括设计评估指标体系、计算指标权重、建立评估模型，计算评估结论等四个步骤。首先，通过识别风险因子、划分权重等级，对城市火灾风险单个因素进行预测，识别城市火灾风险等级分布状况；其次，构建城市火灾风险评估模型，并进行叠加分析；最后，通过GIS分析对城市用地范围内的建筑、场所、设施等发生火灾的危险性和危害性进行综合评价，从而绘制出研究区域的火灾风险评估等级图。</w:t>
      </w:r>
    </w:p>
    <w:p>
      <w:pPr>
        <w:rPr>
          <w:rFonts w:ascii="黑体" w:hAnsi="黑体" w:eastAsia="黑体" w:cs="黑体"/>
          <w:b/>
          <w:bCs/>
          <w:sz w:val="32"/>
          <w:szCs w:val="32"/>
        </w:rPr>
      </w:pPr>
      <w:bookmarkStart w:id="210" w:name="_Toc31008"/>
      <w:r>
        <w:rPr>
          <w:rFonts w:hint="eastAsia" w:ascii="黑体" w:hAnsi="黑体" w:eastAsia="黑体" w:cs="黑体"/>
          <w:b/>
          <w:bCs/>
          <w:sz w:val="32"/>
          <w:szCs w:val="32"/>
        </w:rPr>
        <w:t>2评估指标体系及权重构建</w:t>
      </w:r>
      <w:bookmarkEnd w:id="210"/>
    </w:p>
    <w:p>
      <w:pPr>
        <w:widowControl/>
        <w:jc w:val="left"/>
        <w:rPr>
          <w:rFonts w:ascii="黑体" w:hAnsi="宋体" w:eastAsia="黑体" w:cs="黑体"/>
          <w:b/>
          <w:kern w:val="0"/>
          <w:sz w:val="32"/>
          <w:szCs w:val="32"/>
          <w:lang w:bidi="ar"/>
        </w:rPr>
      </w:pPr>
      <w:r>
        <w:rPr>
          <w:rFonts w:hint="eastAsia" w:ascii="黑体" w:hAnsi="宋体" w:eastAsia="黑体" w:cs="黑体"/>
          <w:b/>
          <w:kern w:val="0"/>
          <w:sz w:val="32"/>
          <w:szCs w:val="32"/>
          <w:lang w:bidi="ar"/>
        </w:rPr>
        <w:t>2.1评估指标体系</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评估指标体系构建是把影像火灾风险的主要因素归纳总结成一系列概念明确、边界清晰、便于把握的指标，并把这些指标按照其内在的联系及隶属关系组织起来。</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准确的体现评估区域真实的火灾风险水平，使评估结果更具科学性及参考价值，根据火灾的风险类型和特点，参考其他城市指标体系构建经验，本规划分两级建立评估指标体系：一级指标体系包括火灾风险指数、区域特征指数、风险抵抗能力；二级指标体系包括重点保护单位分布、火灾发生环境、规划功能分布、人口密度分布、建筑密度分布、与消防站距离以及区域交通环境共7项。</w:t>
      </w:r>
    </w:p>
    <w:p>
      <w:pPr>
        <w:spacing w:after="158" w:afterLines="50" w:line="360" w:lineRule="auto"/>
        <w:ind w:firstLine="643" w:firstLineChars="200"/>
        <w:jc w:val="center"/>
        <w:rPr>
          <w:b/>
          <w:bCs/>
          <w:sz w:val="32"/>
          <w:szCs w:val="32"/>
        </w:rPr>
      </w:pPr>
      <w:r>
        <w:rPr>
          <w:rFonts w:hint="eastAsia"/>
          <w:b/>
          <w:bCs/>
          <w:sz w:val="32"/>
          <w:szCs w:val="32"/>
        </w:rPr>
        <w:t>银川市火灾风险评估指标体系</w:t>
      </w:r>
    </w:p>
    <w:tbl>
      <w:tblPr>
        <w:tblStyle w:val="16"/>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00" w:type="pct"/>
          </w:tcPr>
          <w:p>
            <w:pPr>
              <w:pStyle w:val="2"/>
              <w:jc w:val="center"/>
              <w:rPr>
                <w:color w:val="auto"/>
                <w:sz w:val="28"/>
                <w:szCs w:val="28"/>
              </w:rPr>
            </w:pPr>
            <w:r>
              <w:rPr>
                <w:rFonts w:hint="eastAsia"/>
                <w:color w:val="auto"/>
                <w:sz w:val="28"/>
                <w:szCs w:val="28"/>
              </w:rPr>
              <w:t>一级指标</w:t>
            </w:r>
          </w:p>
        </w:tc>
        <w:tc>
          <w:tcPr>
            <w:tcW w:w="2500" w:type="pct"/>
          </w:tcPr>
          <w:p>
            <w:pPr>
              <w:pStyle w:val="2"/>
              <w:jc w:val="center"/>
              <w:rPr>
                <w:color w:val="auto"/>
                <w:sz w:val="28"/>
                <w:szCs w:val="28"/>
              </w:rPr>
            </w:pPr>
            <w:r>
              <w:rPr>
                <w:rFonts w:hint="eastAsia"/>
                <w:color w:val="auto"/>
                <w:sz w:val="28"/>
                <w:szCs w:val="28"/>
              </w:rPr>
              <w:t>二级指标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00" w:type="pct"/>
            <w:vMerge w:val="restart"/>
            <w:vAlign w:val="center"/>
          </w:tcPr>
          <w:p>
            <w:pPr>
              <w:pStyle w:val="2"/>
              <w:jc w:val="center"/>
              <w:rPr>
                <w:color w:val="auto"/>
                <w:sz w:val="28"/>
                <w:szCs w:val="28"/>
              </w:rPr>
            </w:pPr>
            <w:r>
              <w:rPr>
                <w:rFonts w:hint="eastAsia"/>
                <w:color w:val="auto"/>
                <w:sz w:val="28"/>
                <w:szCs w:val="28"/>
              </w:rPr>
              <w:t>火灾风险指数</w:t>
            </w:r>
          </w:p>
        </w:tc>
        <w:tc>
          <w:tcPr>
            <w:tcW w:w="2500" w:type="pct"/>
          </w:tcPr>
          <w:p>
            <w:pPr>
              <w:pStyle w:val="2"/>
              <w:jc w:val="center"/>
              <w:rPr>
                <w:color w:val="auto"/>
                <w:sz w:val="28"/>
                <w:szCs w:val="28"/>
              </w:rPr>
            </w:pPr>
            <w:r>
              <w:rPr>
                <w:rFonts w:hint="eastAsia"/>
                <w:color w:val="auto"/>
                <w:sz w:val="28"/>
                <w:szCs w:val="28"/>
              </w:rPr>
              <w:t>重点保护单位分布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00" w:type="pct"/>
            <w:vMerge w:val="continue"/>
            <w:vAlign w:val="center"/>
          </w:tcPr>
          <w:p>
            <w:pPr>
              <w:pStyle w:val="2"/>
              <w:jc w:val="center"/>
              <w:rPr>
                <w:color w:val="auto"/>
                <w:sz w:val="28"/>
                <w:szCs w:val="28"/>
              </w:rPr>
            </w:pPr>
          </w:p>
        </w:tc>
        <w:tc>
          <w:tcPr>
            <w:tcW w:w="2500" w:type="pct"/>
          </w:tcPr>
          <w:p>
            <w:pPr>
              <w:pStyle w:val="2"/>
              <w:jc w:val="center"/>
              <w:rPr>
                <w:color w:val="auto"/>
                <w:sz w:val="28"/>
                <w:szCs w:val="28"/>
              </w:rPr>
            </w:pPr>
            <w:r>
              <w:rPr>
                <w:rFonts w:hint="eastAsia"/>
                <w:color w:val="auto"/>
                <w:sz w:val="28"/>
                <w:szCs w:val="28"/>
              </w:rPr>
              <w:t>火灾发生环境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00" w:type="pct"/>
            <w:vMerge w:val="restart"/>
            <w:vAlign w:val="center"/>
          </w:tcPr>
          <w:p>
            <w:pPr>
              <w:pStyle w:val="2"/>
              <w:jc w:val="center"/>
              <w:rPr>
                <w:color w:val="auto"/>
                <w:sz w:val="28"/>
                <w:szCs w:val="28"/>
              </w:rPr>
            </w:pPr>
            <w:r>
              <w:rPr>
                <w:rFonts w:hint="eastAsia"/>
                <w:color w:val="auto"/>
                <w:sz w:val="28"/>
                <w:szCs w:val="28"/>
              </w:rPr>
              <w:t>区域特征指数</w:t>
            </w:r>
          </w:p>
        </w:tc>
        <w:tc>
          <w:tcPr>
            <w:tcW w:w="2500" w:type="pct"/>
          </w:tcPr>
          <w:p>
            <w:pPr>
              <w:pStyle w:val="2"/>
              <w:jc w:val="center"/>
              <w:rPr>
                <w:color w:val="auto"/>
                <w:sz w:val="28"/>
                <w:szCs w:val="28"/>
              </w:rPr>
            </w:pPr>
            <w:r>
              <w:rPr>
                <w:rFonts w:hint="eastAsia"/>
                <w:color w:val="auto"/>
                <w:sz w:val="28"/>
                <w:szCs w:val="28"/>
              </w:rPr>
              <w:t>规划功能分布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00" w:type="pct"/>
            <w:vMerge w:val="continue"/>
            <w:vAlign w:val="center"/>
          </w:tcPr>
          <w:p>
            <w:pPr>
              <w:pStyle w:val="2"/>
              <w:jc w:val="center"/>
              <w:rPr>
                <w:color w:val="auto"/>
                <w:sz w:val="28"/>
                <w:szCs w:val="28"/>
              </w:rPr>
            </w:pPr>
          </w:p>
        </w:tc>
        <w:tc>
          <w:tcPr>
            <w:tcW w:w="2500" w:type="pct"/>
          </w:tcPr>
          <w:p>
            <w:pPr>
              <w:pStyle w:val="2"/>
              <w:jc w:val="center"/>
              <w:rPr>
                <w:color w:val="auto"/>
                <w:sz w:val="28"/>
                <w:szCs w:val="28"/>
              </w:rPr>
            </w:pPr>
            <w:r>
              <w:rPr>
                <w:rFonts w:hint="eastAsia"/>
                <w:color w:val="auto"/>
                <w:sz w:val="28"/>
                <w:szCs w:val="28"/>
              </w:rPr>
              <w:t>人口密度分布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00" w:type="pct"/>
            <w:vMerge w:val="continue"/>
            <w:vAlign w:val="center"/>
          </w:tcPr>
          <w:p>
            <w:pPr>
              <w:pStyle w:val="2"/>
              <w:jc w:val="center"/>
              <w:rPr>
                <w:color w:val="auto"/>
                <w:sz w:val="28"/>
                <w:szCs w:val="28"/>
              </w:rPr>
            </w:pPr>
          </w:p>
        </w:tc>
        <w:tc>
          <w:tcPr>
            <w:tcW w:w="2500" w:type="pct"/>
          </w:tcPr>
          <w:p>
            <w:pPr>
              <w:pStyle w:val="2"/>
              <w:jc w:val="center"/>
              <w:rPr>
                <w:color w:val="auto"/>
                <w:sz w:val="28"/>
                <w:szCs w:val="28"/>
              </w:rPr>
            </w:pPr>
            <w:r>
              <w:rPr>
                <w:rFonts w:hint="eastAsia"/>
                <w:color w:val="auto"/>
                <w:sz w:val="28"/>
                <w:szCs w:val="28"/>
              </w:rPr>
              <w:t>建筑密度分布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00" w:type="pct"/>
            <w:vMerge w:val="restart"/>
            <w:vAlign w:val="center"/>
          </w:tcPr>
          <w:p>
            <w:pPr>
              <w:pStyle w:val="2"/>
              <w:jc w:val="center"/>
              <w:rPr>
                <w:color w:val="auto"/>
                <w:sz w:val="28"/>
                <w:szCs w:val="28"/>
              </w:rPr>
            </w:pPr>
            <w:r>
              <w:rPr>
                <w:rFonts w:hint="eastAsia"/>
                <w:color w:val="auto"/>
                <w:sz w:val="28"/>
                <w:szCs w:val="28"/>
              </w:rPr>
              <w:t>风险抵抗能力指数</w:t>
            </w:r>
          </w:p>
        </w:tc>
        <w:tc>
          <w:tcPr>
            <w:tcW w:w="2500" w:type="pct"/>
          </w:tcPr>
          <w:p>
            <w:pPr>
              <w:pStyle w:val="2"/>
              <w:jc w:val="center"/>
              <w:rPr>
                <w:color w:val="auto"/>
                <w:sz w:val="28"/>
                <w:szCs w:val="28"/>
              </w:rPr>
            </w:pPr>
            <w:r>
              <w:rPr>
                <w:rFonts w:hint="eastAsia"/>
                <w:color w:val="auto"/>
                <w:sz w:val="28"/>
                <w:szCs w:val="28"/>
              </w:rPr>
              <w:t>与消防站距离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500" w:type="pct"/>
            <w:vMerge w:val="continue"/>
          </w:tcPr>
          <w:p>
            <w:pPr>
              <w:pStyle w:val="2"/>
              <w:rPr>
                <w:color w:val="auto"/>
                <w:sz w:val="28"/>
                <w:szCs w:val="28"/>
              </w:rPr>
            </w:pPr>
          </w:p>
        </w:tc>
        <w:tc>
          <w:tcPr>
            <w:tcW w:w="2500" w:type="pct"/>
          </w:tcPr>
          <w:p>
            <w:pPr>
              <w:pStyle w:val="2"/>
              <w:jc w:val="center"/>
              <w:rPr>
                <w:color w:val="auto"/>
                <w:sz w:val="28"/>
                <w:szCs w:val="28"/>
              </w:rPr>
            </w:pPr>
            <w:r>
              <w:rPr>
                <w:rFonts w:hint="eastAsia"/>
                <w:color w:val="auto"/>
                <w:sz w:val="28"/>
                <w:szCs w:val="28"/>
              </w:rPr>
              <w:t>区域交通环境</w:t>
            </w:r>
          </w:p>
        </w:tc>
      </w:tr>
    </w:tbl>
    <w:p>
      <w:pPr>
        <w:pStyle w:val="2"/>
        <w:rPr>
          <w:color w:val="auto"/>
          <w:sz w:val="32"/>
          <w:szCs w:val="32"/>
        </w:rPr>
      </w:pPr>
    </w:p>
    <w:p>
      <w:pPr>
        <w:widowControl/>
        <w:jc w:val="left"/>
        <w:rPr>
          <w:rFonts w:ascii="黑体" w:hAnsi="宋体" w:eastAsia="黑体" w:cs="黑体"/>
          <w:b/>
          <w:kern w:val="0"/>
          <w:sz w:val="32"/>
          <w:szCs w:val="32"/>
          <w:lang w:bidi="ar"/>
        </w:rPr>
      </w:pPr>
      <w:r>
        <w:rPr>
          <w:rFonts w:hint="eastAsia" w:ascii="黑体" w:hAnsi="宋体" w:eastAsia="黑体" w:cs="黑体"/>
          <w:b/>
          <w:kern w:val="0"/>
          <w:sz w:val="32"/>
          <w:szCs w:val="32"/>
          <w:lang w:bidi="ar"/>
        </w:rPr>
        <w:t>2.2计算指标权重</w:t>
      </w:r>
    </w:p>
    <w:p>
      <w:pPr>
        <w:pStyle w:val="2"/>
        <w:rPr>
          <w:color w:val="auto"/>
          <w:sz w:val="32"/>
          <w:szCs w:val="32"/>
        </w:rPr>
      </w:pPr>
      <w:r>
        <w:rPr>
          <w:rFonts w:hint="eastAsia"/>
          <w:color w:val="auto"/>
          <w:sz w:val="32"/>
          <w:szCs w:val="32"/>
        </w:rPr>
        <w:drawing>
          <wp:inline distT="0" distB="0" distL="114300" distR="114300">
            <wp:extent cx="6306185" cy="1170940"/>
            <wp:effectExtent l="0" t="0" r="18415" b="1016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9"/>
                    <a:stretch>
                      <a:fillRect/>
                    </a:stretch>
                  </pic:blipFill>
                  <pic:spPr>
                    <a:xfrm>
                      <a:off x="0" y="0"/>
                      <a:ext cx="6306185" cy="1170940"/>
                    </a:xfrm>
                    <a:prstGeom prst="rect">
                      <a:avLst/>
                    </a:prstGeom>
                  </pic:spPr>
                </pic:pic>
              </a:graphicData>
            </a:graphic>
          </wp:inline>
        </w:drawing>
      </w:r>
    </w:p>
    <w:p>
      <w:pPr>
        <w:spacing w:after="240"/>
        <w:jc w:val="center"/>
        <w:rPr>
          <w:sz w:val="32"/>
          <w:szCs w:val="32"/>
        </w:rPr>
      </w:pPr>
      <w:r>
        <w:rPr>
          <w:rFonts w:hint="eastAsia"/>
          <w:b/>
          <w:bCs/>
          <w:sz w:val="32"/>
          <w:szCs w:val="32"/>
        </w:rPr>
        <w:t>评估层次结构模型</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在火灾风险评估体系中，不同评估指标对系统的贡献不同，指标权重是根据指标在系统中的相对重要性程度的主观和客观反映的综合度量。本次评估采用层次分析法（AHP法），计算指标权重。</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通过AHP软件建立层次结构模型，将问题转化为层次中各因素相对于上层因素相对重要性的排序问题，在排序计算中，采取成对因素的比较判断，并根据一定的比率标度，形成判断矩阵。权重计算结果如下表所示。</w:t>
      </w:r>
    </w:p>
    <w:p>
      <w:pPr>
        <w:spacing w:after="158" w:afterLines="50" w:line="360" w:lineRule="auto"/>
        <w:ind w:firstLine="643" w:firstLineChars="200"/>
        <w:jc w:val="center"/>
        <w:rPr>
          <w:sz w:val="32"/>
          <w:szCs w:val="32"/>
        </w:rPr>
      </w:pPr>
      <w:r>
        <w:rPr>
          <w:rFonts w:hint="eastAsia"/>
          <w:b/>
          <w:bCs/>
          <w:sz w:val="32"/>
          <w:szCs w:val="32"/>
        </w:rPr>
        <w:t>银川市火灾风险指标权重表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5"/>
        <w:gridCol w:w="4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tcPr>
          <w:p>
            <w:pPr>
              <w:pStyle w:val="2"/>
              <w:jc w:val="center"/>
              <w:rPr>
                <w:color w:val="auto"/>
                <w:sz w:val="28"/>
                <w:szCs w:val="28"/>
              </w:rPr>
            </w:pPr>
            <w:r>
              <w:rPr>
                <w:rFonts w:hint="eastAsia"/>
                <w:color w:val="auto"/>
                <w:sz w:val="28"/>
                <w:szCs w:val="28"/>
              </w:rPr>
              <w:t>二级指标</w:t>
            </w:r>
          </w:p>
        </w:tc>
        <w:tc>
          <w:tcPr>
            <w:tcW w:w="4682" w:type="dxa"/>
          </w:tcPr>
          <w:p>
            <w:pPr>
              <w:pStyle w:val="2"/>
              <w:jc w:val="center"/>
              <w:rPr>
                <w:color w:val="auto"/>
                <w:sz w:val="28"/>
                <w:szCs w:val="28"/>
              </w:rPr>
            </w:pPr>
            <w:r>
              <w:rPr>
                <w:rFonts w:hint="eastAsia"/>
                <w:color w:val="auto"/>
                <w:sz w:val="28"/>
                <w:szCs w:val="2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vAlign w:val="center"/>
          </w:tcPr>
          <w:p>
            <w:pPr>
              <w:pStyle w:val="2"/>
              <w:jc w:val="center"/>
              <w:rPr>
                <w:color w:val="auto"/>
                <w:sz w:val="28"/>
                <w:szCs w:val="28"/>
              </w:rPr>
            </w:pPr>
            <w:r>
              <w:rPr>
                <w:rFonts w:hint="eastAsia"/>
                <w:color w:val="auto"/>
                <w:sz w:val="28"/>
                <w:szCs w:val="28"/>
              </w:rPr>
              <w:t>重点保护单位分布</w:t>
            </w:r>
          </w:p>
        </w:tc>
        <w:tc>
          <w:tcPr>
            <w:tcW w:w="4682" w:type="dxa"/>
          </w:tcPr>
          <w:p>
            <w:pPr>
              <w:pStyle w:val="2"/>
              <w:jc w:val="center"/>
              <w:rPr>
                <w:color w:val="auto"/>
                <w:sz w:val="28"/>
                <w:szCs w:val="28"/>
              </w:rPr>
            </w:pPr>
            <w:r>
              <w:rPr>
                <w:rFonts w:hint="eastAsia"/>
                <w:color w:val="auto"/>
                <w:sz w:val="28"/>
                <w:szCs w:val="28"/>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vAlign w:val="center"/>
          </w:tcPr>
          <w:p>
            <w:pPr>
              <w:pStyle w:val="2"/>
              <w:jc w:val="center"/>
              <w:rPr>
                <w:color w:val="auto"/>
                <w:sz w:val="28"/>
                <w:szCs w:val="28"/>
              </w:rPr>
            </w:pPr>
            <w:r>
              <w:rPr>
                <w:rFonts w:hint="eastAsia"/>
                <w:color w:val="auto"/>
                <w:sz w:val="28"/>
                <w:szCs w:val="28"/>
              </w:rPr>
              <w:t>火灾发生环境</w:t>
            </w:r>
          </w:p>
        </w:tc>
        <w:tc>
          <w:tcPr>
            <w:tcW w:w="4682" w:type="dxa"/>
          </w:tcPr>
          <w:p>
            <w:pPr>
              <w:pStyle w:val="2"/>
              <w:jc w:val="center"/>
              <w:rPr>
                <w:color w:val="auto"/>
                <w:sz w:val="28"/>
                <w:szCs w:val="28"/>
              </w:rPr>
            </w:pPr>
            <w:r>
              <w:rPr>
                <w:rFonts w:hint="eastAsia"/>
                <w:color w:val="auto"/>
                <w:sz w:val="28"/>
                <w:szCs w:val="28"/>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vAlign w:val="center"/>
          </w:tcPr>
          <w:p>
            <w:pPr>
              <w:pStyle w:val="2"/>
              <w:jc w:val="center"/>
              <w:rPr>
                <w:color w:val="auto"/>
                <w:sz w:val="28"/>
                <w:szCs w:val="28"/>
              </w:rPr>
            </w:pPr>
            <w:r>
              <w:rPr>
                <w:rFonts w:hint="eastAsia"/>
                <w:color w:val="auto"/>
                <w:sz w:val="28"/>
                <w:szCs w:val="28"/>
              </w:rPr>
              <w:t>规划功能分布</w:t>
            </w:r>
          </w:p>
        </w:tc>
        <w:tc>
          <w:tcPr>
            <w:tcW w:w="4682" w:type="dxa"/>
          </w:tcPr>
          <w:p>
            <w:pPr>
              <w:pStyle w:val="2"/>
              <w:jc w:val="center"/>
              <w:rPr>
                <w:color w:val="auto"/>
                <w:sz w:val="28"/>
                <w:szCs w:val="28"/>
              </w:rPr>
            </w:pPr>
            <w:r>
              <w:rPr>
                <w:rFonts w:hint="eastAsia"/>
                <w:color w:val="auto"/>
                <w:sz w:val="28"/>
                <w:szCs w:val="28"/>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vAlign w:val="center"/>
          </w:tcPr>
          <w:p>
            <w:pPr>
              <w:pStyle w:val="2"/>
              <w:jc w:val="center"/>
              <w:rPr>
                <w:color w:val="auto"/>
                <w:sz w:val="28"/>
                <w:szCs w:val="28"/>
              </w:rPr>
            </w:pPr>
            <w:r>
              <w:rPr>
                <w:rFonts w:hint="eastAsia"/>
                <w:color w:val="auto"/>
                <w:sz w:val="28"/>
                <w:szCs w:val="28"/>
              </w:rPr>
              <w:t>人口密度分布</w:t>
            </w:r>
          </w:p>
        </w:tc>
        <w:tc>
          <w:tcPr>
            <w:tcW w:w="4682" w:type="dxa"/>
          </w:tcPr>
          <w:p>
            <w:pPr>
              <w:pStyle w:val="2"/>
              <w:jc w:val="center"/>
              <w:rPr>
                <w:color w:val="auto"/>
                <w:sz w:val="28"/>
                <w:szCs w:val="28"/>
              </w:rPr>
            </w:pPr>
            <w:r>
              <w:rPr>
                <w:rFonts w:hint="eastAsia"/>
                <w:color w:val="auto"/>
                <w:sz w:val="28"/>
                <w:szCs w:val="28"/>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vAlign w:val="center"/>
          </w:tcPr>
          <w:p>
            <w:pPr>
              <w:pStyle w:val="2"/>
              <w:jc w:val="center"/>
              <w:rPr>
                <w:color w:val="auto"/>
                <w:sz w:val="28"/>
                <w:szCs w:val="28"/>
              </w:rPr>
            </w:pPr>
            <w:r>
              <w:rPr>
                <w:rFonts w:hint="eastAsia"/>
                <w:color w:val="auto"/>
                <w:sz w:val="28"/>
                <w:szCs w:val="28"/>
              </w:rPr>
              <w:t>建筑密度分布</w:t>
            </w:r>
          </w:p>
        </w:tc>
        <w:tc>
          <w:tcPr>
            <w:tcW w:w="4682" w:type="dxa"/>
          </w:tcPr>
          <w:p>
            <w:pPr>
              <w:pStyle w:val="2"/>
              <w:jc w:val="center"/>
              <w:rPr>
                <w:color w:val="auto"/>
                <w:sz w:val="28"/>
                <w:szCs w:val="28"/>
              </w:rPr>
            </w:pPr>
            <w:r>
              <w:rPr>
                <w:rFonts w:hint="eastAsia"/>
                <w:color w:val="auto"/>
                <w:sz w:val="28"/>
                <w:szCs w:val="28"/>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vAlign w:val="center"/>
          </w:tcPr>
          <w:p>
            <w:pPr>
              <w:pStyle w:val="2"/>
              <w:jc w:val="center"/>
              <w:rPr>
                <w:color w:val="auto"/>
                <w:sz w:val="28"/>
                <w:szCs w:val="28"/>
              </w:rPr>
            </w:pPr>
            <w:r>
              <w:rPr>
                <w:rFonts w:hint="eastAsia"/>
                <w:color w:val="auto"/>
                <w:sz w:val="28"/>
                <w:szCs w:val="28"/>
              </w:rPr>
              <w:t>与消防站距离</w:t>
            </w:r>
          </w:p>
        </w:tc>
        <w:tc>
          <w:tcPr>
            <w:tcW w:w="4682" w:type="dxa"/>
          </w:tcPr>
          <w:p>
            <w:pPr>
              <w:pStyle w:val="2"/>
              <w:jc w:val="center"/>
              <w:rPr>
                <w:color w:val="auto"/>
                <w:sz w:val="28"/>
                <w:szCs w:val="28"/>
              </w:rPr>
            </w:pPr>
            <w:r>
              <w:rPr>
                <w:rFonts w:hint="eastAsia"/>
                <w:color w:val="auto"/>
                <w:sz w:val="28"/>
                <w:szCs w:val="28"/>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1" w:type="dxa"/>
            <w:vAlign w:val="center"/>
          </w:tcPr>
          <w:p>
            <w:pPr>
              <w:pStyle w:val="2"/>
              <w:jc w:val="center"/>
              <w:rPr>
                <w:color w:val="auto"/>
                <w:sz w:val="28"/>
                <w:szCs w:val="28"/>
              </w:rPr>
            </w:pPr>
            <w:r>
              <w:rPr>
                <w:rFonts w:hint="eastAsia"/>
                <w:color w:val="auto"/>
                <w:sz w:val="28"/>
                <w:szCs w:val="28"/>
              </w:rPr>
              <w:t>区域交通环境</w:t>
            </w:r>
          </w:p>
        </w:tc>
        <w:tc>
          <w:tcPr>
            <w:tcW w:w="4682" w:type="dxa"/>
          </w:tcPr>
          <w:p>
            <w:pPr>
              <w:pStyle w:val="2"/>
              <w:jc w:val="center"/>
              <w:rPr>
                <w:color w:val="auto"/>
                <w:sz w:val="28"/>
                <w:szCs w:val="28"/>
              </w:rPr>
            </w:pPr>
            <w:r>
              <w:rPr>
                <w:rFonts w:hint="eastAsia"/>
                <w:color w:val="auto"/>
                <w:sz w:val="28"/>
                <w:szCs w:val="28"/>
              </w:rPr>
              <w:t>0.06</w:t>
            </w:r>
          </w:p>
        </w:tc>
      </w:tr>
    </w:tbl>
    <w:p>
      <w:pPr>
        <w:pStyle w:val="2"/>
        <w:rPr>
          <w:color w:val="auto"/>
          <w:sz w:val="32"/>
          <w:szCs w:val="32"/>
        </w:rPr>
      </w:pPr>
    </w:p>
    <w:p>
      <w:pPr>
        <w:widowControl/>
        <w:jc w:val="left"/>
        <w:rPr>
          <w:rFonts w:ascii="黑体" w:hAnsi="宋体" w:eastAsia="黑体" w:cs="黑体"/>
          <w:b/>
          <w:kern w:val="0"/>
          <w:sz w:val="32"/>
          <w:szCs w:val="32"/>
          <w:lang w:bidi="ar"/>
        </w:rPr>
      </w:pPr>
      <w:r>
        <w:rPr>
          <w:rFonts w:hint="eastAsia" w:ascii="黑体" w:hAnsi="宋体" w:eastAsia="黑体" w:cs="黑体"/>
          <w:b/>
          <w:kern w:val="0"/>
          <w:sz w:val="32"/>
          <w:szCs w:val="32"/>
          <w:lang w:bidi="ar"/>
        </w:rPr>
        <w:t>2.3建立评估模型</w:t>
      </w:r>
    </w:p>
    <w:p>
      <w:pPr>
        <w:widowControl/>
        <w:rPr>
          <w:rFonts w:ascii="黑体" w:hAnsi="黑体" w:eastAsia="黑体" w:cs="黑体"/>
          <w:b/>
          <w:bCs/>
          <w:sz w:val="32"/>
          <w:szCs w:val="32"/>
        </w:rPr>
      </w:pPr>
      <w:r>
        <w:rPr>
          <w:rFonts w:hint="eastAsia" w:ascii="黑体" w:hAnsi="黑体" w:eastAsia="黑体" w:cs="黑体"/>
          <w:b/>
          <w:bCs/>
          <w:sz w:val="32"/>
          <w:szCs w:val="32"/>
        </w:rPr>
        <w:t>2.3.1防护单位重要性</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根据城市各单位的消防重要性与发生火灾后的社会影响力大小分为四大类，分别是高重要性单位、较高重要性单位、中等重要性单位、一般重要性单位。其中：</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（1）高重要性单位</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①通过规划地块获得的用地斑块，主要包括政府机关单位、医院、学校、重要交通枢纽、文物保护单位、化工类工厂等。</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②通过在高德地图上爬取的多处宾馆酒店、娱乐场所、大型商场等人员密集场所的经纬度数据，将其在GIS中转化为矢量点位。</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（2）较高重要性单位：主要为一般市场和面积较大的商业街区，以及老城区毗邻连续的商住楼。</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（3）中等重要性单位：主要包括非危险品集中的工业及仓储用地和部分分散的商业用地。</w:t>
      </w:r>
    </w:p>
    <w:p>
      <w:pPr>
        <w:spacing w:after="24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（4）一般重要性单位：主要包括各类居住小区，待定用地以及新区商住楼。</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7352030" cy="5043170"/>
            <wp:effectExtent l="0" t="0" r="5080" b="1270"/>
            <wp:docPr id="6" name="图片 6" descr="主城区火灾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主城区火灾风险分布图"/>
                    <pic:cNvPicPr>
                      <a:picLocks noChangeAspect="1"/>
                    </pic:cNvPicPr>
                  </pic:nvPicPr>
                  <pic:blipFill>
                    <a:blip r:embed="rId10"/>
                    <a:srcRect l="12148" t="13729" r="6862" b="9863"/>
                    <a:stretch>
                      <a:fillRect/>
                    </a:stretch>
                  </pic:blipFill>
                  <pic:spPr>
                    <a:xfrm rot="16200000">
                      <a:off x="0" y="0"/>
                      <a:ext cx="7352030" cy="5043170"/>
                    </a:xfrm>
                    <a:prstGeom prst="rect">
                      <a:avLst/>
                    </a:prstGeom>
                  </pic:spPr>
                </pic:pic>
              </a:graphicData>
            </a:graphic>
          </wp:inline>
        </w:drawing>
      </w:r>
    </w:p>
    <w:p>
      <w:pPr>
        <w:pStyle w:val="2"/>
        <w:jc w:val="center"/>
        <w:rPr>
          <w:rFonts w:ascii="宋体" w:hAnsi="宋体" w:cs="宋体"/>
          <w:b/>
          <w:bCs/>
          <w:color w:val="000000" w:themeColor="text1"/>
          <w:sz w:val="22"/>
          <w:szCs w:val="22"/>
          <w14:textFill>
            <w14:solidFill>
              <w14:schemeClr w14:val="tx1"/>
            </w14:solidFill>
          </w14:textFill>
        </w:rPr>
      </w:pPr>
      <w:r>
        <w:rPr>
          <w:rFonts w:hint="eastAsia"/>
          <w:b/>
          <w:bCs/>
          <w:color w:val="000000" w:themeColor="text1"/>
          <w:sz w:val="28"/>
          <w14:textFill>
            <w14:solidFill>
              <w14:schemeClr w14:val="tx1"/>
            </w14:solidFill>
          </w14:textFill>
        </w:rPr>
        <w:t>主城区火灾分险分布图</w:t>
      </w:r>
    </w:p>
    <w:p>
      <w:pPr>
        <w:pStyle w:val="2"/>
      </w:pPr>
    </w:p>
    <w:p>
      <w:pPr>
        <w:pStyle w:val="2"/>
        <w:jc w:val="center"/>
        <w:rPr>
          <w:rFonts w:ascii="宋体" w:hAnsi="宋体" w:cs="宋体"/>
          <w:b/>
          <w:bCs/>
          <w:color w:val="000000" w:themeColor="text1"/>
          <w:sz w:val="22"/>
          <w:szCs w:val="22"/>
          <w14:textFill>
            <w14:solidFill>
              <w14:schemeClr w14:val="tx1"/>
            </w14:solidFill>
          </w14:textFill>
        </w:rPr>
      </w:pPr>
      <w:r>
        <w:rPr>
          <w:rFonts w:hint="eastAsia" w:ascii="宋体" w:hAnsi="宋体" w:cs="宋体"/>
          <w:b/>
          <w:bCs/>
          <w:color w:val="000000" w:themeColor="text1"/>
          <w:sz w:val="22"/>
          <w:szCs w:val="22"/>
          <w14:textFill>
            <w14:solidFill>
              <w14:schemeClr w14:val="tx1"/>
            </w14:solidFill>
          </w14:textFill>
        </w:rPr>
        <w:drawing>
          <wp:inline distT="0" distB="0" distL="114300" distR="114300">
            <wp:extent cx="7998460" cy="5254625"/>
            <wp:effectExtent l="0" t="0" r="3175" b="2540"/>
            <wp:docPr id="7" name="图片 7" descr="15苏银产业园火灾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苏银产业园火灾风险分布图"/>
                    <pic:cNvPicPr>
                      <a:picLocks noChangeAspect="1"/>
                    </pic:cNvPicPr>
                  </pic:nvPicPr>
                  <pic:blipFill>
                    <a:blip r:embed="rId11"/>
                    <a:srcRect l="11980" t="13840" r="6580" b="10500"/>
                    <a:stretch>
                      <a:fillRect/>
                    </a:stretch>
                  </pic:blipFill>
                  <pic:spPr>
                    <a:xfrm rot="16200000">
                      <a:off x="0" y="0"/>
                      <a:ext cx="7998460" cy="5254625"/>
                    </a:xfrm>
                    <a:prstGeom prst="rect">
                      <a:avLst/>
                    </a:prstGeom>
                  </pic:spPr>
                </pic:pic>
              </a:graphicData>
            </a:graphic>
          </wp:inline>
        </w:drawing>
      </w:r>
    </w:p>
    <w:p>
      <w:pPr>
        <w:pStyle w:val="2"/>
        <w:jc w:val="center"/>
        <w:rPr>
          <w:rFonts w:ascii="宋体" w:hAnsi="宋体" w:cs="宋体"/>
          <w:b/>
          <w:bCs/>
          <w:color w:val="000000" w:themeColor="text1"/>
          <w:sz w:val="22"/>
          <w:szCs w:val="22"/>
          <w14:textFill>
            <w14:solidFill>
              <w14:schemeClr w14:val="tx1"/>
            </w14:solidFill>
          </w14:textFill>
        </w:rPr>
      </w:pPr>
      <w:r>
        <w:rPr>
          <w:rFonts w:hint="eastAsia"/>
          <w:b/>
          <w:bCs/>
          <w:color w:val="000000" w:themeColor="text1"/>
          <w:sz w:val="28"/>
          <w14:textFill>
            <w14:solidFill>
              <w14:schemeClr w14:val="tx1"/>
            </w14:solidFill>
          </w14:textFill>
        </w:rPr>
        <w:t>苏银产业园火灾分险分布图</w:t>
      </w:r>
    </w:p>
    <w:p>
      <w:pPr>
        <w:widowControl/>
        <w:rPr>
          <w:rFonts w:ascii="黑体" w:hAnsi="黑体" w:eastAsia="黑体" w:cs="黑体"/>
          <w:b/>
          <w:bCs/>
          <w:sz w:val="32"/>
          <w:szCs w:val="32"/>
        </w:rPr>
      </w:pPr>
      <w:r>
        <w:rPr>
          <w:rFonts w:hint="eastAsia" w:ascii="黑体" w:hAnsi="黑体" w:eastAsia="黑体" w:cs="黑体"/>
          <w:b/>
          <w:bCs/>
          <w:sz w:val="32"/>
          <w:szCs w:val="32"/>
        </w:rPr>
        <w:t>2.3.2火灾环境分析</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城市的建设时序，将1990年—2035年划分为旧城区（1990-2000）-较旧城区（2000-2010）-较新城区（2010-2018）以及新区（2018以后）。那么，建设时间越早的区域，设施设备越老旧，消防设施越不完善，火灾隐患越严重，火灾风险越高。相反，建设时序越晚的区域，设施设备更为完善，火灾隐患越小，火灾风险越低。同时，还叠合中心城区危险品集中区域，此类区域火灾发生的环境相对其他区域也更好，最终得到火灾发生环境分布图。</w:t>
      </w:r>
    </w:p>
    <w:p>
      <w:pPr>
        <w:ind w:firstLine="442" w:firstLineChars="200"/>
        <w:jc w:val="center"/>
        <w:rPr>
          <w:rFonts w:ascii="宋体" w:hAnsi="宋体" w:cs="宋体"/>
          <w:b/>
          <w:bCs/>
          <w:sz w:val="22"/>
          <w:szCs w:val="22"/>
        </w:rPr>
      </w:pPr>
      <w:r>
        <w:rPr>
          <w:rFonts w:hint="eastAsia" w:ascii="宋体" w:hAnsi="宋体" w:cs="宋体"/>
          <w:b/>
          <w:bCs/>
          <w:sz w:val="22"/>
          <w:szCs w:val="22"/>
        </w:rPr>
        <w:drawing>
          <wp:inline distT="0" distB="0" distL="114300" distR="114300">
            <wp:extent cx="4280535" cy="3747770"/>
            <wp:effectExtent l="9525" t="9525" r="15240" b="14605"/>
            <wp:docPr id="20" name="图片 20"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5.jpg5"/>
                    <pic:cNvPicPr>
                      <a:picLocks noChangeAspect="1"/>
                    </pic:cNvPicPr>
                  </pic:nvPicPr>
                  <pic:blipFill>
                    <a:blip r:embed="rId12"/>
                    <a:srcRect/>
                    <a:stretch>
                      <a:fillRect/>
                    </a:stretch>
                  </pic:blipFill>
                  <pic:spPr>
                    <a:xfrm>
                      <a:off x="0" y="0"/>
                      <a:ext cx="4280535" cy="3747770"/>
                    </a:xfrm>
                    <a:prstGeom prst="rect">
                      <a:avLst/>
                    </a:prstGeom>
                    <a:ln>
                      <a:solidFill>
                        <a:schemeClr val="tx1"/>
                      </a:solidFill>
                    </a:ln>
                  </pic:spPr>
                </pic:pic>
              </a:graphicData>
            </a:graphic>
          </wp:inline>
        </w:drawing>
      </w:r>
    </w:p>
    <w:p>
      <w:pPr>
        <w:spacing w:after="158" w:afterLines="50" w:line="360" w:lineRule="auto"/>
        <w:ind w:firstLine="562" w:firstLineChars="200"/>
        <w:jc w:val="center"/>
        <w:rPr>
          <w:rFonts w:ascii="宋体" w:hAnsi="宋体" w:cs="宋体"/>
          <w:b/>
          <w:bCs/>
          <w:sz w:val="22"/>
          <w:szCs w:val="22"/>
        </w:rPr>
      </w:pPr>
      <w:r>
        <w:rPr>
          <w:rFonts w:hint="eastAsia"/>
          <w:b/>
          <w:bCs/>
          <w:sz w:val="28"/>
          <w:szCs w:val="24"/>
        </w:rPr>
        <w:t>火灾发生环境分布</w:t>
      </w:r>
    </w:p>
    <w:p>
      <w:pPr>
        <w:widowControl/>
        <w:rPr>
          <w:rFonts w:ascii="黑体" w:hAnsi="黑体" w:eastAsia="黑体" w:cs="黑体"/>
          <w:b/>
          <w:bCs/>
          <w:sz w:val="32"/>
          <w:szCs w:val="28"/>
        </w:rPr>
      </w:pPr>
      <w:r>
        <w:rPr>
          <w:rFonts w:hint="eastAsia" w:ascii="黑体" w:hAnsi="黑体" w:eastAsia="黑体" w:cs="黑体"/>
          <w:b/>
          <w:bCs/>
          <w:sz w:val="32"/>
          <w:szCs w:val="28"/>
        </w:rPr>
        <w:t>2.3.3城市功能分布</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根据中心城区各类用地发生火灾的可能性大小，划分火灾风险，共分为五个等级：</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（1）火灾风险高</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主要包括老城人员密集区、大型公共建筑、超高层建筑、危险化学品集中地区、燃气站、加油站等。</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（2）火灾风险较高</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主要包括市区内各学校、医院、事业单位、养老院、文保单位等。</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（3）火灾风险中等</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主要指中心城区内各类商业街区、商业综合体等。</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（4）火灾风险低</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主要为各类居住小区、商住用地以及不含危险品的工业、仓储用地。</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（5）火灾风险极低区域</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主要指城市道路、广场、绿地及水域等区域。</w:t>
      </w:r>
    </w:p>
    <w:p>
      <w:pPr>
        <w:widowControl/>
        <w:rPr>
          <w:rFonts w:ascii="黑体" w:hAnsi="黑体" w:eastAsia="黑体" w:cs="黑体"/>
          <w:b/>
          <w:bCs/>
          <w:sz w:val="32"/>
          <w:szCs w:val="28"/>
        </w:rPr>
      </w:pPr>
      <w:r>
        <w:rPr>
          <w:rFonts w:hint="eastAsia" w:ascii="黑体" w:hAnsi="黑体" w:eastAsia="黑体" w:cs="黑体"/>
          <w:b/>
          <w:bCs/>
          <w:sz w:val="32"/>
          <w:szCs w:val="28"/>
        </w:rPr>
        <w:t>2.3.4人口密度分布</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通过对百度慧眼城市地图的运用，得到银川市整个中心城区现状人口分布热力图。可看出，银川市人口密度相对较高的区域集中在老城区、商业街区，车站，学校、医院以及高层居住区等，将此规律结合整个中心城区的规划图，根据规划用地性质，容积率等条件，最终得到规划银川市中心城区人口密度斑块图。</w:t>
      </w:r>
    </w:p>
    <w:p>
      <w:pPr>
        <w:ind w:firstLine="442" w:firstLineChars="200"/>
        <w:jc w:val="center"/>
        <w:rPr>
          <w:rFonts w:ascii="宋体" w:hAnsi="宋体" w:cs="宋体"/>
          <w:b/>
          <w:bCs/>
          <w:sz w:val="22"/>
          <w:szCs w:val="22"/>
        </w:rPr>
      </w:pPr>
      <w:r>
        <w:rPr>
          <w:rFonts w:hint="eastAsia" w:ascii="宋体" w:hAnsi="宋体" w:cs="宋体"/>
          <w:b/>
          <w:bCs/>
          <w:sz w:val="22"/>
          <w:szCs w:val="22"/>
        </w:rPr>
        <w:drawing>
          <wp:inline distT="0" distB="0" distL="114300" distR="114300">
            <wp:extent cx="4733290" cy="4282440"/>
            <wp:effectExtent l="0" t="0" r="10160" b="381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3"/>
                    <a:srcRect t="13443" b="14864"/>
                    <a:stretch>
                      <a:fillRect/>
                    </a:stretch>
                  </pic:blipFill>
                  <pic:spPr>
                    <a:xfrm>
                      <a:off x="0" y="0"/>
                      <a:ext cx="4733290" cy="4282440"/>
                    </a:xfrm>
                    <a:prstGeom prst="rect">
                      <a:avLst/>
                    </a:prstGeom>
                  </pic:spPr>
                </pic:pic>
              </a:graphicData>
            </a:graphic>
          </wp:inline>
        </w:drawing>
      </w:r>
    </w:p>
    <w:p>
      <w:pPr>
        <w:spacing w:after="158" w:afterLines="50" w:line="360" w:lineRule="auto"/>
        <w:ind w:firstLine="562" w:firstLineChars="200"/>
        <w:jc w:val="center"/>
        <w:rPr>
          <w:b/>
          <w:bCs/>
          <w:sz w:val="28"/>
          <w:szCs w:val="24"/>
        </w:rPr>
      </w:pPr>
      <w:r>
        <w:rPr>
          <w:rFonts w:hint="eastAsia"/>
          <w:b/>
          <w:bCs/>
          <w:sz w:val="28"/>
          <w:szCs w:val="24"/>
        </w:rPr>
        <w:t>银川市中心城区人口密度分布图</w:t>
      </w:r>
    </w:p>
    <w:p>
      <w:pPr>
        <w:widowControl/>
        <w:rPr>
          <w:rFonts w:ascii="黑体" w:hAnsi="黑体" w:eastAsia="黑体" w:cs="黑体"/>
          <w:b/>
          <w:bCs/>
          <w:sz w:val="32"/>
          <w:szCs w:val="28"/>
        </w:rPr>
      </w:pPr>
      <w:r>
        <w:rPr>
          <w:rFonts w:hint="eastAsia" w:ascii="黑体" w:hAnsi="黑体" w:eastAsia="黑体" w:cs="黑体"/>
          <w:b/>
          <w:bCs/>
          <w:sz w:val="32"/>
          <w:szCs w:val="28"/>
        </w:rPr>
        <w:t>2.3.5建筑密度分布</w:t>
      </w:r>
    </w:p>
    <w:p>
      <w:pPr>
        <w:spacing w:after="240"/>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根据中心城区各片区的控制性详细规划，得出中心城区建筑密度分布图，颜色越深的区域，建筑密度越大。可看出银川市中心城区建筑密度较大的区域主要分布在兴庆区中部、北部、金凤区、重要的商业街区、部分居住小区以及银川站周边等。</w:t>
      </w:r>
    </w:p>
    <w:p>
      <w:pPr>
        <w:spacing w:after="240"/>
        <w:ind w:firstLine="560" w:firstLineChars="200"/>
        <w:rPr>
          <w:rFonts w:ascii="宋体" w:hAnsi="宋体" w:cs="宋体"/>
          <w:sz w:val="28"/>
          <w:szCs w:val="28"/>
        </w:rPr>
      </w:pPr>
      <w:r>
        <w:rPr>
          <w:rFonts w:hint="eastAsia" w:ascii="宋体" w:hAnsi="宋体" w:cs="宋体"/>
          <w:sz w:val="28"/>
          <w:szCs w:val="28"/>
        </w:rPr>
        <w:drawing>
          <wp:inline distT="0" distB="0" distL="114300" distR="114300">
            <wp:extent cx="4949825" cy="4010660"/>
            <wp:effectExtent l="9525" t="9525" r="12700" b="18415"/>
            <wp:docPr id="25" name="图片 2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2"/>
                    <pic:cNvPicPr>
                      <a:picLocks noChangeAspect="1"/>
                    </pic:cNvPicPr>
                  </pic:nvPicPr>
                  <pic:blipFill>
                    <a:blip r:embed="rId14"/>
                    <a:srcRect l="17705" t="6745" r="6831" b="6730"/>
                    <a:stretch>
                      <a:fillRect/>
                    </a:stretch>
                  </pic:blipFill>
                  <pic:spPr>
                    <a:xfrm>
                      <a:off x="0" y="0"/>
                      <a:ext cx="4949825" cy="4010660"/>
                    </a:xfrm>
                    <a:prstGeom prst="rect">
                      <a:avLst/>
                    </a:prstGeom>
                    <a:ln>
                      <a:solidFill>
                        <a:schemeClr val="tx1"/>
                      </a:solidFill>
                    </a:ln>
                  </pic:spPr>
                </pic:pic>
              </a:graphicData>
            </a:graphic>
          </wp:inline>
        </w:drawing>
      </w:r>
    </w:p>
    <w:p>
      <w:pPr>
        <w:spacing w:after="158" w:afterLines="50" w:line="360" w:lineRule="auto"/>
        <w:ind w:firstLine="562" w:firstLineChars="200"/>
        <w:jc w:val="center"/>
        <w:rPr>
          <w:b/>
          <w:bCs/>
          <w:sz w:val="28"/>
          <w:szCs w:val="24"/>
        </w:rPr>
      </w:pPr>
      <w:r>
        <w:rPr>
          <w:rFonts w:hint="eastAsia"/>
          <w:b/>
          <w:bCs/>
          <w:sz w:val="28"/>
          <w:szCs w:val="24"/>
        </w:rPr>
        <w:t>建筑密度分布图</w:t>
      </w:r>
    </w:p>
    <w:p>
      <w:pPr>
        <w:widowControl/>
        <w:rPr>
          <w:rFonts w:ascii="黑体" w:hAnsi="黑体" w:eastAsia="黑体" w:cs="黑体"/>
          <w:b/>
          <w:bCs/>
          <w:sz w:val="32"/>
          <w:szCs w:val="28"/>
        </w:rPr>
      </w:pPr>
      <w:r>
        <w:rPr>
          <w:rFonts w:hint="eastAsia" w:ascii="黑体" w:hAnsi="黑体" w:eastAsia="黑体" w:cs="黑体"/>
          <w:b/>
          <w:bCs/>
          <w:sz w:val="32"/>
          <w:szCs w:val="28"/>
        </w:rPr>
        <w:t>2.3.6消防站5分钟可达性覆盖区</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通过中心城区交通模型的建立，对现状消防站的消防车到达时间进行分析，得出现状消防车到达时间覆盖图，可看出离消防站越远，消防车到达时间越久，由此结合中心城区用地斑块，得到与现状消防站距离分析图。</w:t>
      </w:r>
    </w:p>
    <w:p>
      <w:pPr>
        <w:widowControl/>
        <w:ind w:firstLine="560" w:firstLineChars="200"/>
        <w:rPr>
          <w:rFonts w:ascii="仿宋_GB2312" w:hAnsi="仿宋_GB2312" w:eastAsia="仿宋_GB2312" w:cs="仿宋_GB2312"/>
          <w:sz w:val="28"/>
          <w:szCs w:val="24"/>
        </w:rPr>
      </w:pPr>
    </w:p>
    <w:p>
      <w:pPr>
        <w:ind w:firstLine="442" w:firstLineChars="200"/>
        <w:rPr>
          <w:rFonts w:ascii="宋体" w:hAnsi="宋体" w:cs="宋体"/>
          <w:b/>
          <w:bCs/>
          <w:sz w:val="22"/>
          <w:szCs w:val="22"/>
        </w:rPr>
      </w:pPr>
      <w:r>
        <w:rPr>
          <w:rFonts w:hint="eastAsia" w:ascii="宋体" w:hAnsi="宋体" w:cs="宋体"/>
          <w:b/>
          <w:bCs/>
          <w:sz w:val="22"/>
          <w:szCs w:val="22"/>
        </w:rPr>
        <w:drawing>
          <wp:inline distT="0" distB="0" distL="114300" distR="114300">
            <wp:extent cx="5100320" cy="4451350"/>
            <wp:effectExtent l="9525" t="9525" r="14605" b="15875"/>
            <wp:docPr id="26" name="图片 26" descr="C:\Users\Administrator\Desktop\14现状消防站5分钟可达范围图.jpg14现状消防站5分钟可达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14现状消防站5分钟可达范围图.jpg14现状消防站5分钟可达范围图"/>
                    <pic:cNvPicPr>
                      <a:picLocks noChangeAspect="1"/>
                    </pic:cNvPicPr>
                  </pic:nvPicPr>
                  <pic:blipFill>
                    <a:blip r:embed="rId15"/>
                    <a:srcRect/>
                    <a:stretch>
                      <a:fillRect/>
                    </a:stretch>
                  </pic:blipFill>
                  <pic:spPr>
                    <a:xfrm>
                      <a:off x="0" y="0"/>
                      <a:ext cx="5100320" cy="4451350"/>
                    </a:xfrm>
                    <a:prstGeom prst="rect">
                      <a:avLst/>
                    </a:prstGeom>
                    <a:ln>
                      <a:solidFill>
                        <a:schemeClr val="tx1"/>
                      </a:solidFill>
                    </a:ln>
                  </pic:spPr>
                </pic:pic>
              </a:graphicData>
            </a:graphic>
          </wp:inline>
        </w:drawing>
      </w:r>
    </w:p>
    <w:p>
      <w:pPr>
        <w:spacing w:after="158" w:afterLines="50" w:line="360" w:lineRule="auto"/>
        <w:ind w:firstLine="562" w:firstLineChars="200"/>
        <w:jc w:val="center"/>
        <w:rPr>
          <w:b/>
          <w:bCs/>
          <w:sz w:val="28"/>
          <w:szCs w:val="24"/>
        </w:rPr>
      </w:pPr>
      <w:r>
        <w:rPr>
          <w:rFonts w:hint="eastAsia"/>
          <w:b/>
          <w:bCs/>
          <w:sz w:val="28"/>
          <w:szCs w:val="24"/>
        </w:rPr>
        <w:t>现状消防站5分钟可达性覆盖图</w:t>
      </w:r>
    </w:p>
    <w:p>
      <w:pPr>
        <w:widowControl/>
        <w:rPr>
          <w:rFonts w:ascii="黑体" w:hAnsi="黑体" w:eastAsia="黑体" w:cs="黑体"/>
          <w:b/>
          <w:bCs/>
          <w:sz w:val="32"/>
          <w:szCs w:val="28"/>
        </w:rPr>
      </w:pPr>
      <w:r>
        <w:rPr>
          <w:rFonts w:hint="eastAsia" w:ascii="黑体" w:hAnsi="黑体" w:eastAsia="黑体" w:cs="黑体"/>
          <w:b/>
          <w:bCs/>
          <w:sz w:val="32"/>
          <w:szCs w:val="28"/>
        </w:rPr>
        <w:t>2.3.7区域交通环境</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将中心城区路网录入GIS中，注入实际通勤时间和道路密度评价因子。然后对路网的密度进行分析，用地地块越小，路网密度越大，代表区域道路越多，消防车的通达性就越强，救火越方便。反之，地块越大，路网密度越小，消防车救火越困难。由此得出中心城区道路密度拓扑图。</w:t>
      </w:r>
    </w:p>
    <w:p>
      <w:pPr>
        <w:widowControl/>
        <w:ind w:firstLine="560" w:firstLineChars="200"/>
        <w:rPr>
          <w:rFonts w:ascii="仿宋_GB2312" w:hAnsi="仿宋_GB2312" w:eastAsia="仿宋_GB2312" w:cs="仿宋_GB2312"/>
          <w:sz w:val="28"/>
          <w:szCs w:val="24"/>
        </w:rPr>
      </w:pPr>
    </w:p>
    <w:p>
      <w:pPr>
        <w:widowControl/>
        <w:ind w:firstLine="560" w:firstLineChars="200"/>
        <w:rPr>
          <w:rFonts w:ascii="仿宋_GB2312" w:hAnsi="仿宋_GB2312" w:eastAsia="仿宋_GB2312" w:cs="仿宋_GB2312"/>
          <w:sz w:val="28"/>
          <w:szCs w:val="24"/>
        </w:rPr>
      </w:pPr>
    </w:p>
    <w:p>
      <w:pPr>
        <w:ind w:firstLine="442" w:firstLineChars="200"/>
        <w:rPr>
          <w:rFonts w:ascii="宋体" w:hAnsi="宋体" w:cs="宋体"/>
          <w:b/>
          <w:bCs/>
          <w:sz w:val="22"/>
          <w:szCs w:val="22"/>
        </w:rPr>
      </w:pPr>
    </w:p>
    <w:p>
      <w:pPr>
        <w:rPr>
          <w:rFonts w:ascii="宋体" w:hAnsi="宋体" w:cs="宋体"/>
          <w:b/>
          <w:bCs/>
          <w:sz w:val="22"/>
          <w:szCs w:val="22"/>
        </w:rPr>
      </w:pPr>
    </w:p>
    <w:p>
      <w:pPr>
        <w:ind w:firstLine="442" w:firstLineChars="200"/>
        <w:jc w:val="center"/>
        <w:rPr>
          <w:rFonts w:ascii="宋体" w:hAnsi="宋体" w:cs="宋体"/>
          <w:b/>
          <w:bCs/>
          <w:sz w:val="22"/>
          <w:szCs w:val="22"/>
        </w:rPr>
      </w:pPr>
      <w:r>
        <w:rPr>
          <w:rFonts w:hint="eastAsia" w:ascii="宋体" w:hAnsi="宋体" w:cs="宋体"/>
          <w:b/>
          <w:bCs/>
          <w:sz w:val="22"/>
          <w:szCs w:val="22"/>
        </w:rPr>
        <w:drawing>
          <wp:inline distT="0" distB="0" distL="114300" distR="114300">
            <wp:extent cx="5111750" cy="4508500"/>
            <wp:effectExtent l="9525" t="9525" r="22225" b="15875"/>
            <wp:docPr id="27" name="图片 27" descr="C:\Users\Administrator\Desktop\1拓扑.jpg1拓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1拓扑.jpg1拓扑"/>
                    <pic:cNvPicPr>
                      <a:picLocks noChangeAspect="1"/>
                    </pic:cNvPicPr>
                  </pic:nvPicPr>
                  <pic:blipFill>
                    <a:blip r:embed="rId16"/>
                    <a:srcRect/>
                    <a:stretch>
                      <a:fillRect/>
                    </a:stretch>
                  </pic:blipFill>
                  <pic:spPr>
                    <a:xfrm>
                      <a:off x="0" y="0"/>
                      <a:ext cx="5111750" cy="4508500"/>
                    </a:xfrm>
                    <a:prstGeom prst="rect">
                      <a:avLst/>
                    </a:prstGeom>
                    <a:ln>
                      <a:solidFill>
                        <a:schemeClr val="tx1"/>
                      </a:solidFill>
                    </a:ln>
                  </pic:spPr>
                </pic:pic>
              </a:graphicData>
            </a:graphic>
          </wp:inline>
        </w:drawing>
      </w:r>
    </w:p>
    <w:p>
      <w:pPr>
        <w:ind w:firstLine="562" w:firstLineChars="200"/>
        <w:jc w:val="center"/>
        <w:rPr>
          <w:rFonts w:ascii="宋体" w:hAnsi="宋体" w:cs="宋体"/>
          <w:b/>
          <w:bCs/>
          <w:sz w:val="22"/>
          <w:szCs w:val="22"/>
        </w:rPr>
      </w:pPr>
      <w:r>
        <w:rPr>
          <w:rFonts w:hint="eastAsia"/>
          <w:b/>
          <w:bCs/>
          <w:sz w:val="28"/>
          <w:szCs w:val="24"/>
        </w:rPr>
        <w:t>中心城区道路密度拓扑图</w:t>
      </w:r>
    </w:p>
    <w:p>
      <w:pPr>
        <w:widowControl/>
        <w:rPr>
          <w:rFonts w:ascii="黑体" w:hAnsi="黑体" w:eastAsia="黑体" w:cs="黑体"/>
          <w:b/>
          <w:bCs/>
          <w:sz w:val="32"/>
          <w:szCs w:val="28"/>
        </w:rPr>
      </w:pPr>
      <w:r>
        <w:rPr>
          <w:rFonts w:hint="eastAsia" w:ascii="黑体" w:hAnsi="黑体" w:eastAsia="黑体" w:cs="黑体"/>
          <w:b/>
          <w:bCs/>
          <w:sz w:val="32"/>
          <w:szCs w:val="28"/>
        </w:rPr>
        <w:t>2.3.8综合评价</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将各指标因子分别赋予指标权重分别进行单因素火灾风险评价，通过采用GIS软件的空间叠加分析技术，对所有单因素评价的栅格作叠加运算，得到综合评价图。</w:t>
      </w:r>
    </w:p>
    <w:p>
      <w:pPr>
        <w:ind w:firstLine="442" w:firstLineChars="200"/>
        <w:jc w:val="center"/>
        <w:rPr>
          <w:rFonts w:ascii="宋体" w:hAnsi="宋体" w:cs="宋体"/>
          <w:b/>
          <w:bCs/>
          <w:sz w:val="22"/>
          <w:szCs w:val="22"/>
        </w:rPr>
      </w:pPr>
      <w:r>
        <w:rPr>
          <w:rFonts w:hint="eastAsia" w:ascii="宋体" w:hAnsi="宋体" w:cs="宋体"/>
          <w:b/>
          <w:bCs/>
          <w:sz w:val="22"/>
          <w:szCs w:val="22"/>
        </w:rPr>
        <w:drawing>
          <wp:inline distT="0" distB="0" distL="114300" distR="114300">
            <wp:extent cx="5176520" cy="4554220"/>
            <wp:effectExtent l="9525" t="9525" r="14605" b="27305"/>
            <wp:docPr id="8" name="图片 8" descr="C:\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7.jpg7"/>
                    <pic:cNvPicPr>
                      <a:picLocks noChangeAspect="1"/>
                    </pic:cNvPicPr>
                  </pic:nvPicPr>
                  <pic:blipFill>
                    <a:blip r:embed="rId17"/>
                    <a:srcRect/>
                    <a:stretch>
                      <a:fillRect/>
                    </a:stretch>
                  </pic:blipFill>
                  <pic:spPr>
                    <a:xfrm>
                      <a:off x="0" y="0"/>
                      <a:ext cx="5176520" cy="4554220"/>
                    </a:xfrm>
                    <a:prstGeom prst="rect">
                      <a:avLst/>
                    </a:prstGeom>
                    <a:ln>
                      <a:solidFill>
                        <a:schemeClr val="tx1"/>
                      </a:solidFill>
                    </a:ln>
                  </pic:spPr>
                </pic:pic>
              </a:graphicData>
            </a:graphic>
          </wp:inline>
        </w:drawing>
      </w:r>
    </w:p>
    <w:p>
      <w:pPr>
        <w:spacing w:after="158" w:afterLines="50" w:line="360" w:lineRule="auto"/>
        <w:ind w:firstLine="562" w:firstLineChars="200"/>
        <w:jc w:val="center"/>
      </w:pPr>
      <w:r>
        <w:rPr>
          <w:rFonts w:hint="eastAsia"/>
          <w:b/>
          <w:bCs/>
          <w:sz w:val="28"/>
          <w:szCs w:val="24"/>
        </w:rPr>
        <w:t>综合评价图</w:t>
      </w:r>
    </w:p>
    <w:p>
      <w:pPr>
        <w:ind w:firstLine="442" w:firstLineChars="200"/>
        <w:jc w:val="center"/>
        <w:rPr>
          <w:rFonts w:ascii="宋体" w:hAnsi="宋体" w:cs="宋体"/>
          <w:b/>
          <w:bCs/>
          <w:sz w:val="22"/>
          <w:szCs w:val="22"/>
        </w:rPr>
      </w:pPr>
      <w:r>
        <w:rPr>
          <w:rFonts w:hint="eastAsia" w:ascii="宋体" w:hAnsi="宋体" w:cs="宋体"/>
          <w:b/>
          <w:bCs/>
          <w:sz w:val="22"/>
          <w:szCs w:val="22"/>
        </w:rPr>
        <w:drawing>
          <wp:inline distT="0" distB="0" distL="114300" distR="114300">
            <wp:extent cx="5807710" cy="1957705"/>
            <wp:effectExtent l="0" t="0" r="2540" b="4445"/>
            <wp:docPr id="24" name="图片 2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
                    <pic:cNvPicPr>
                      <a:picLocks noChangeAspect="1"/>
                    </pic:cNvPicPr>
                  </pic:nvPicPr>
                  <pic:blipFill>
                    <a:blip r:embed="rId18"/>
                    <a:stretch>
                      <a:fillRect/>
                    </a:stretch>
                  </pic:blipFill>
                  <pic:spPr>
                    <a:xfrm>
                      <a:off x="0" y="0"/>
                      <a:ext cx="5807710" cy="1957705"/>
                    </a:xfrm>
                    <a:prstGeom prst="rect">
                      <a:avLst/>
                    </a:prstGeom>
                  </pic:spPr>
                </pic:pic>
              </a:graphicData>
            </a:graphic>
          </wp:inline>
        </w:drawing>
      </w:r>
    </w:p>
    <w:p>
      <w:pPr>
        <w:ind w:firstLine="442" w:firstLineChars="200"/>
        <w:jc w:val="center"/>
        <w:rPr>
          <w:rFonts w:ascii="宋体" w:hAnsi="宋体" w:cs="宋体"/>
          <w:b/>
          <w:bCs/>
          <w:sz w:val="22"/>
          <w:szCs w:val="22"/>
        </w:rPr>
      </w:pPr>
    </w:p>
    <w:p>
      <w:pPr>
        <w:ind w:firstLine="562" w:firstLineChars="200"/>
        <w:jc w:val="center"/>
        <w:rPr>
          <w:b/>
          <w:bCs/>
          <w:sz w:val="28"/>
          <w:szCs w:val="24"/>
        </w:rPr>
      </w:pPr>
      <w:r>
        <w:rPr>
          <w:rFonts w:hint="eastAsia"/>
          <w:b/>
          <w:bCs/>
          <w:sz w:val="28"/>
          <w:szCs w:val="24"/>
        </w:rPr>
        <w:t>火灾风险评估流程模型</w:t>
      </w:r>
    </w:p>
    <w:p>
      <w:pPr>
        <w:pStyle w:val="2"/>
        <w:rPr>
          <w:b/>
          <w:bCs/>
          <w:sz w:val="28"/>
        </w:rPr>
      </w:pPr>
    </w:p>
    <w:p>
      <w:pPr>
        <w:pStyle w:val="2"/>
        <w:rPr>
          <w:b/>
          <w:bCs/>
          <w:sz w:val="28"/>
        </w:rPr>
      </w:pPr>
    </w:p>
    <w:p>
      <w:pPr>
        <w:widowControl/>
        <w:jc w:val="left"/>
        <w:rPr>
          <w:rFonts w:ascii="黑体" w:hAnsi="宋体" w:eastAsia="黑体" w:cs="黑体"/>
          <w:b/>
          <w:kern w:val="0"/>
          <w:sz w:val="32"/>
          <w:szCs w:val="32"/>
          <w:lang w:bidi="ar"/>
        </w:rPr>
      </w:pPr>
      <w:r>
        <w:rPr>
          <w:rFonts w:hint="eastAsia" w:ascii="黑体" w:hAnsi="宋体" w:eastAsia="黑体" w:cs="黑体"/>
          <w:b/>
          <w:kern w:val="0"/>
          <w:sz w:val="32"/>
          <w:szCs w:val="32"/>
          <w:lang w:bidi="ar"/>
        </w:rPr>
        <w:t>2.4火灾风险评估结论</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通过对银川市城市火灾风险进行评估，中心城区火灾风险分为5级，从第1级到第5级，火灾风险从高到低依次减弱。</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第1级风险区（高风险）：可能发生重大或特大火灾，火灾风险性高，火灾处于很难控制的水平，应当全面采取措施对主动防火设施进行完善，加强对危险源的管控、增强消防管理和救援力量。主要分布在金凤区、兴庆区、金凤区诸多大型商业综合体以及超高层建筑区域，如大阅城、万达金街、悦海新天地等；西夏区部分危化品存储区域；银川火车站、客运站等交通枢纽区域等。</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第2级风险区（次高风险）：可能发生重大火灾，火灾风险性较高，火灾风险处于难控制的水平，应采取措施加强消防基础设施建设和提高消防管理水平。主要分布在兴庆区新华商圈、温州商城、西塔片区、天平街等人员密集区。</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第3级风险区（中风险）：可能发生较大火灾，火灾风险性中等，火灾风险处于较难控制的水平，风险控制重在整体布局整改和完善消防管理措施。主要分布在银川经济技术开发区、银川中关村创新创业科技园、IBI育成中心等工业、科技园区及银川会展中心、银川博物馆等大型博览展示区域等。</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第4级风险区（低风险）：可能发生一般火灾，火灾风险性较低，火灾风险处于可控制的水平，在适当采取措施后可达到接受水平，风险控制重在局部地区整改和加强消防管控力度。主要为兴庆区、金凤区的中低层住宅区域、西夏区科教文卫集中区等。</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第5级风险区（极低风险）：火灾风险性低，火灾风险处于可接受的水平，风险控制重在维护和管理。主要为中心城区内的铁路线路用地、城市道路用地、绿地与广场用地、水域等。</w:t>
      </w:r>
    </w:p>
    <w:p>
      <w:pPr>
        <w:widowControl/>
        <w:ind w:firstLine="640" w:firstLineChars="200"/>
        <w:rPr>
          <w:rFonts w:ascii="仿宋_GB2312" w:hAnsi="仿宋_GB2312" w:eastAsia="仿宋_GB2312" w:cs="仿宋_GB2312"/>
          <w:sz w:val="32"/>
          <w:szCs w:val="28"/>
        </w:rPr>
      </w:pPr>
      <w:r>
        <w:rPr>
          <w:rFonts w:hint="eastAsia" w:ascii="仿宋_GB2312" w:hAnsi="仿宋_GB2312" w:eastAsia="仿宋_GB2312" w:cs="仿宋_GB2312"/>
          <w:sz w:val="32"/>
          <w:szCs w:val="28"/>
        </w:rPr>
        <w:t>根据以上城市火灾风险评估结论，针对不同火灾风险区域优化消防力量布局，使城市未来的火灾风险控制在可承受的范围内，是“十四五”期间银川市消防救援工作的新形势。</w:t>
      </w:r>
    </w:p>
    <w:p>
      <w:pPr>
        <w:pStyle w:val="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490845" cy="4765675"/>
            <wp:effectExtent l="9525" t="9525" r="24130" b="25400"/>
            <wp:docPr id="9" name="图片 9" descr="19火灾风险分区和现状消防站5分钟可达范围叠加分析图145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火灾风险分区和现状消防站5分钟可达范围叠加分析图145五"/>
                    <pic:cNvPicPr>
                      <a:picLocks noChangeAspect="1"/>
                    </pic:cNvPicPr>
                  </pic:nvPicPr>
                  <pic:blipFill>
                    <a:blip r:embed="rId19"/>
                    <a:srcRect l="12497" t="15717" r="25197" b="7811"/>
                    <a:stretch>
                      <a:fillRect/>
                    </a:stretch>
                  </pic:blipFill>
                  <pic:spPr>
                    <a:xfrm>
                      <a:off x="0" y="0"/>
                      <a:ext cx="5490845" cy="4765675"/>
                    </a:xfrm>
                    <a:prstGeom prst="rect">
                      <a:avLst/>
                    </a:prstGeom>
                    <a:ln>
                      <a:solidFill>
                        <a:schemeClr val="tx1"/>
                      </a:solidFill>
                    </a:ln>
                  </pic:spPr>
                </pic:pic>
              </a:graphicData>
            </a:graphic>
          </wp:inline>
        </w:drawing>
      </w:r>
    </w:p>
    <w:p>
      <w:pPr>
        <w:spacing w:after="158" w:afterLines="50" w:line="360" w:lineRule="auto"/>
        <w:ind w:firstLine="562" w:firstLineChars="200"/>
        <w:jc w:val="center"/>
        <w:rPr>
          <w:b/>
          <w:bCs/>
          <w:color w:val="000000" w:themeColor="text1"/>
          <w:sz w:val="28"/>
          <w:szCs w:val="24"/>
          <w14:textFill>
            <w14:solidFill>
              <w14:schemeClr w14:val="tx1"/>
            </w14:solidFill>
          </w14:textFill>
        </w:rPr>
      </w:pPr>
      <w:r>
        <w:rPr>
          <w:rFonts w:hint="eastAsia"/>
          <w:b/>
          <w:bCs/>
          <w:color w:val="000000" w:themeColor="text1"/>
          <w:sz w:val="28"/>
          <w:szCs w:val="24"/>
          <w14:textFill>
            <w14:solidFill>
              <w14:schemeClr w14:val="tx1"/>
            </w14:solidFill>
          </w14:textFill>
        </w:rPr>
        <w:t>主城区综合评价图</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560695" cy="4367530"/>
            <wp:effectExtent l="9525" t="9525" r="11430" b="23495"/>
            <wp:docPr id="10" name="图片 10" descr="PSD苏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SD苏银"/>
                    <pic:cNvPicPr>
                      <a:picLocks noChangeAspect="1"/>
                    </pic:cNvPicPr>
                  </pic:nvPicPr>
                  <pic:blipFill>
                    <a:blip r:embed="rId20"/>
                    <a:srcRect l="8717" t="11109" r="17896" b="7310"/>
                    <a:stretch>
                      <a:fillRect/>
                    </a:stretch>
                  </pic:blipFill>
                  <pic:spPr>
                    <a:xfrm>
                      <a:off x="0" y="0"/>
                      <a:ext cx="5560695" cy="4367530"/>
                    </a:xfrm>
                    <a:prstGeom prst="rect">
                      <a:avLst/>
                    </a:prstGeom>
                    <a:ln>
                      <a:solidFill>
                        <a:schemeClr val="tx1"/>
                      </a:solidFill>
                    </a:ln>
                  </pic:spPr>
                </pic:pic>
              </a:graphicData>
            </a:graphic>
          </wp:inline>
        </w:drawing>
      </w:r>
    </w:p>
    <w:p>
      <w:pPr>
        <w:spacing w:after="158" w:afterLines="50" w:line="360" w:lineRule="auto"/>
        <w:ind w:firstLine="562" w:firstLineChars="200"/>
        <w:jc w:val="center"/>
        <w:rPr>
          <w:b/>
          <w:bCs/>
          <w:color w:val="000000" w:themeColor="text1"/>
          <w:sz w:val="28"/>
          <w:szCs w:val="24"/>
          <w14:textFill>
            <w14:solidFill>
              <w14:schemeClr w14:val="tx1"/>
            </w14:solidFill>
          </w14:textFill>
        </w:rPr>
      </w:pPr>
      <w:r>
        <w:rPr>
          <w:rFonts w:hint="eastAsia"/>
          <w:b/>
          <w:bCs/>
          <w:color w:val="000000" w:themeColor="text1"/>
          <w:sz w:val="28"/>
          <w:szCs w:val="24"/>
          <w14:textFill>
            <w14:solidFill>
              <w14:schemeClr w14:val="tx1"/>
            </w14:solidFill>
          </w14:textFill>
        </w:rPr>
        <w:t>苏银产业园综合评价图</w:t>
      </w:r>
    </w:p>
    <w:p>
      <w:pPr>
        <w:widowControl/>
        <w:jc w:val="left"/>
        <w:rPr>
          <w:rFonts w:ascii="黑体" w:hAnsi="宋体" w:eastAsia="黑体" w:cs="黑体"/>
          <w:b/>
          <w:kern w:val="0"/>
          <w:sz w:val="32"/>
          <w:szCs w:val="32"/>
          <w:lang w:bidi="ar"/>
        </w:rPr>
      </w:pPr>
      <w:r>
        <w:rPr>
          <w:rFonts w:hint="eastAsia" w:ascii="黑体" w:hAnsi="宋体" w:eastAsia="黑体" w:cs="黑体"/>
          <w:b/>
          <w:kern w:val="0"/>
          <w:sz w:val="32"/>
          <w:szCs w:val="32"/>
          <w:lang w:bidi="ar"/>
        </w:rPr>
        <w:t>2.5应对火灾风险的主要对策建议</w:t>
      </w:r>
    </w:p>
    <w:p>
      <w:pPr>
        <w:widowControl/>
        <w:ind w:firstLine="643" w:firstLineChars="200"/>
        <w:rPr>
          <w:rFonts w:ascii="仿宋_GB2312" w:hAnsi="仿宋_GB2312" w:eastAsia="仿宋_GB2312" w:cs="仿宋_GB2312"/>
          <w:sz w:val="32"/>
          <w:szCs w:val="28"/>
        </w:rPr>
      </w:pPr>
      <w:r>
        <w:rPr>
          <w:rFonts w:hint="eastAsia" w:ascii="仿宋_GB2312" w:hAnsi="仿宋_GB2312" w:eastAsia="仿宋_GB2312" w:cs="仿宋_GB2312"/>
          <w:b/>
          <w:bCs/>
          <w:sz w:val="32"/>
          <w:szCs w:val="28"/>
        </w:rPr>
        <w:t>着力完善公共消防设施。</w:t>
      </w:r>
      <w:r>
        <w:rPr>
          <w:rFonts w:hint="eastAsia" w:ascii="仿宋_GB2312" w:hAnsi="仿宋_GB2312" w:eastAsia="仿宋_GB2312" w:cs="仿宋_GB2312"/>
          <w:sz w:val="32"/>
          <w:szCs w:val="28"/>
        </w:rPr>
        <w:t>增加消防救援站数量，逐步达到《城市消防规划规范》所规定的消防站辖区面积；维护消防通讯系统及指挥调度系统的有效工作，保证消防通讯及时准确，加强消防站责任区边界处日常的消防管理，保证路面畅通情况，确保火灾时5分钟的到达率；制定实施加强公共消防设施三年行动计划，按照《城市消防规划规范》的要求，增加政府专职消防员的数量以提高消防人员的满编率，增加或更新消防车辆，提高消防设备装备水平。结合国土空间规划的制定，全面启动新一轮中消防规划编修工作，建立消防规划备案和跟踪监督机制，加快推动消火栓等基础设施年度建设任务的落实。把消防工作纳入美丽乡镇建设和扶贫攻坚工作，逐年加大对农村消防工作的投入，改善农村消防安全环境，努力减少因灾返贫、致贫现象；建立消防发展水平综合评价体系和红蓝预警机制，对各地消防发展水平实行科学评估，防止出现消防安全形势总体恶化。</w:t>
      </w:r>
    </w:p>
    <w:p>
      <w:pPr>
        <w:widowControl/>
        <w:ind w:firstLine="643" w:firstLineChars="200"/>
        <w:rPr>
          <w:rFonts w:ascii="仿宋_GB2312" w:hAnsi="仿宋_GB2312" w:eastAsia="仿宋_GB2312" w:cs="仿宋_GB2312"/>
          <w:sz w:val="32"/>
          <w:szCs w:val="28"/>
        </w:rPr>
      </w:pPr>
      <w:r>
        <w:rPr>
          <w:rFonts w:hint="eastAsia" w:ascii="仿宋_GB2312" w:hAnsi="仿宋_GB2312" w:eastAsia="仿宋_GB2312" w:cs="仿宋_GB2312"/>
          <w:b/>
          <w:bCs/>
          <w:sz w:val="32"/>
          <w:szCs w:val="28"/>
        </w:rPr>
        <w:t>着力改进和加强公共消防管理。</w:t>
      </w:r>
      <w:r>
        <w:rPr>
          <w:rFonts w:hint="eastAsia" w:ascii="仿宋_GB2312" w:hAnsi="仿宋_GB2312" w:eastAsia="仿宋_GB2312" w:cs="仿宋_GB2312"/>
          <w:sz w:val="32"/>
          <w:szCs w:val="28"/>
        </w:rPr>
        <w:t>适时启动《银川市消防安全责任制办法》立法编制工作，依靠法规明晰权责关系，解决突出问题，把消防工作纳入经济社会发展全局来推进，走好依法治火、依法管消之路；推进优化消防行政审批措施的深度落实，抓好执法规范化建设，提高服务发展的能力水平；结合“智慧城市”推进“互联网+消防”建设，应用新型技术手段，以最小代价最大限度减低各类隐患风险；宣传、教育、公安等部门要大力开展公益宣传，让消防进学校、进培训，采取购买服务方式把消防宣传交给社会媒体来策划宣传，努力延伸触角、扩大受众面，提高公众消防安全意识。</w:t>
      </w:r>
    </w:p>
    <w:p>
      <w:pPr>
        <w:widowControl/>
        <w:ind w:firstLine="643" w:firstLineChars="200"/>
        <w:rPr>
          <w:rFonts w:ascii="仿宋_GB2312" w:hAnsi="仿宋_GB2312" w:eastAsia="仿宋_GB2312" w:cs="仿宋_GB2312"/>
          <w:sz w:val="32"/>
          <w:szCs w:val="28"/>
        </w:rPr>
      </w:pPr>
      <w:r>
        <w:rPr>
          <w:rFonts w:hint="eastAsia" w:ascii="仿宋_GB2312" w:hAnsi="仿宋_GB2312" w:eastAsia="仿宋_GB2312" w:cs="仿宋_GB2312"/>
          <w:b/>
          <w:bCs/>
          <w:sz w:val="32"/>
          <w:szCs w:val="28"/>
        </w:rPr>
        <w:t>着力加强消防专业化职业化建设。</w:t>
      </w:r>
      <w:r>
        <w:rPr>
          <w:rFonts w:hint="eastAsia" w:ascii="仿宋_GB2312" w:hAnsi="仿宋_GB2312" w:eastAsia="仿宋_GB2312" w:cs="仿宋_GB2312"/>
          <w:sz w:val="32"/>
          <w:szCs w:val="28"/>
        </w:rPr>
        <w:t>争取现役编制，合理调配救援力量，使力量布局更好保障全市安全发展；加快推进市消防培训基地建设，实现灭火救援向基地化、实战化训练转变；全面推行消防员职业技能鉴定工作，加强专职消防员队伍专业化、职业化建设，努力把消防监管和救援服务向基层延伸；加快化工、高层消防专业救援攻坚队伍建设，增配排烟照明、抢险救援等特种车辆和装备，提高处置应对复杂灾害的能力。</w:t>
      </w:r>
    </w:p>
    <w:p>
      <w:pPr>
        <w:widowControl/>
        <w:ind w:firstLine="640" w:firstLineChars="200"/>
        <w:rPr>
          <w:rFonts w:ascii="仿宋_GB2312" w:hAnsi="仿宋_GB2312" w:eastAsia="仿宋_GB2312" w:cs="仿宋_GB2312"/>
          <w:sz w:val="32"/>
          <w:szCs w:val="28"/>
        </w:rPr>
      </w:pPr>
    </w:p>
    <w:p>
      <w:pPr>
        <w:widowControl/>
        <w:ind w:firstLine="560" w:firstLineChars="200"/>
        <w:rPr>
          <w:rFonts w:ascii="仿宋_GB2312" w:hAnsi="仿宋_GB2312" w:eastAsia="仿宋_GB2312" w:cs="仿宋_GB2312"/>
          <w:sz w:val="28"/>
          <w:szCs w:val="24"/>
        </w:rPr>
      </w:pPr>
    </w:p>
    <w:sectPr>
      <w:footerReference r:id="rId5" w:type="default"/>
      <w:pgSz w:w="11906" w:h="16838"/>
      <w:pgMar w:top="1701" w:right="1417" w:bottom="1440" w:left="1587" w:header="851" w:footer="992" w:gutter="0"/>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86850B-BB4B-4E4A-823A-1B16373CF94D}"/>
  </w:font>
  <w:font w:name="Arial">
    <w:panose1 w:val="020B0604020202020204"/>
    <w:charset w:val="01"/>
    <w:family w:val="swiss"/>
    <w:pitch w:val="default"/>
    <w:sig w:usb0="E0002AFF" w:usb1="C0007843" w:usb2="00000009" w:usb3="00000000" w:csb0="400001FF" w:csb1="FFFF0000"/>
    <w:embedRegular r:id="rId2" w:fontKey="{E6A76270-A742-4670-A452-64B23D82A054}"/>
  </w:font>
  <w:font w:name="黑体">
    <w:panose1 w:val="02010609060101010101"/>
    <w:charset w:val="86"/>
    <w:family w:val="auto"/>
    <w:pitch w:val="default"/>
    <w:sig w:usb0="800002BF" w:usb1="38CF7CFA" w:usb2="00000016" w:usb3="00000000" w:csb0="00040001" w:csb1="00000000"/>
    <w:embedRegular r:id="rId3" w:fontKey="{571EDEBE-6BCA-4D2F-8255-6EC8BB538E06}"/>
  </w:font>
  <w:font w:name="Courier New">
    <w:panose1 w:val="02070309020205020404"/>
    <w:charset w:val="01"/>
    <w:family w:val="modern"/>
    <w:pitch w:val="default"/>
    <w:sig w:usb0="E0002AFF" w:usb1="C0007843" w:usb2="00000009" w:usb3="00000000" w:csb0="400001FF" w:csb1="FFFF0000"/>
    <w:embedRegular r:id="rId4" w:fontKey="{FC8B31E7-C30F-4149-9B79-FBD1D8673616}"/>
  </w:font>
  <w:font w:name="Symbol">
    <w:panose1 w:val="05050102010706020507"/>
    <w:charset w:val="02"/>
    <w:family w:val="roman"/>
    <w:pitch w:val="default"/>
    <w:sig w:usb0="00000000" w:usb1="00000000" w:usb2="00000000" w:usb3="00000000" w:csb0="80000000" w:csb1="00000000"/>
    <w:embedRegular r:id="rId5" w:fontKey="{26090FB2-73CD-40D6-8E2F-4B32119931A8}"/>
  </w:font>
  <w:font w:name="Calibri">
    <w:panose1 w:val="020F0502020204030204"/>
    <w:charset w:val="00"/>
    <w:family w:val="swiss"/>
    <w:pitch w:val="default"/>
    <w:sig w:usb0="E10002FF" w:usb1="4000ACFF" w:usb2="00000009" w:usb3="00000000" w:csb0="2000019F" w:csb1="00000000"/>
    <w:embedRegular r:id="rId6" w:fontKey="{EA199717-CE03-466F-B0D6-C72923A08EEA}"/>
  </w:font>
  <w:font w:name="Arial">
    <w:panose1 w:val="020B0604020202020204"/>
    <w:charset w:val="00"/>
    <w:family w:val="swiss"/>
    <w:pitch w:val="default"/>
    <w:sig w:usb0="E0002AFF" w:usb1="C0007843" w:usb2="00000009" w:usb3="00000000" w:csb0="400001FF" w:csb1="FFFF0000"/>
    <w:embedRegular r:id="rId7" w:fontKey="{3893D112-AFFF-47C2-83AC-48C37830F984}"/>
  </w:font>
  <w:font w:name="Calibri Light">
    <w:panose1 w:val="020F0302020204030204"/>
    <w:charset w:val="00"/>
    <w:family w:val="swiss"/>
    <w:pitch w:val="default"/>
    <w:sig w:usb0="A00002EF" w:usb1="4000207B" w:usb2="00000000" w:usb3="00000000" w:csb0="2000019F" w:csb1="00000000"/>
    <w:embedRegular r:id="rId8" w:fontKey="{BAE33833-DFA3-4D00-B88C-F620ABAA392D}"/>
  </w:font>
  <w:font w:name="方正正黑_GBK">
    <w:altName w:val="Arial Unicode MS"/>
    <w:panose1 w:val="00000000000000000000"/>
    <w:charset w:val="86"/>
    <w:family w:val="auto"/>
    <w:pitch w:val="default"/>
    <w:sig w:usb0="00000000" w:usb1="00000000" w:usb2="00082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9" w:fontKey="{F1D86220-0D92-46AE-91E5-5DD475737B05}"/>
  </w:font>
  <w:font w:name="仿宋">
    <w:panose1 w:val="02010609060101010101"/>
    <w:charset w:val="86"/>
    <w:family w:val="modern"/>
    <w:pitch w:val="default"/>
    <w:sig w:usb0="800002BF" w:usb1="38CF7CFA" w:usb2="00000016" w:usb3="00000000" w:csb0="00040001" w:csb1="00000000"/>
    <w:embedRegular r:id="rId10" w:fontKey="{F23A0766-D398-447C-A3FA-37E21A7E9F2F}"/>
  </w:font>
  <w:font w:name="方正仿宋_GBK">
    <w:panose1 w:val="03000509000000000000"/>
    <w:charset w:val="86"/>
    <w:family w:val="script"/>
    <w:pitch w:val="default"/>
    <w:sig w:usb0="00000001" w:usb1="080E0000" w:usb2="00000000" w:usb3="00000000" w:csb0="00040000" w:csb1="00000000"/>
    <w:embedRegular r:id="rId11" w:fontKey="{F7B728C2-3456-4963-B0F7-6B94F7066190}"/>
  </w:font>
  <w:font w:name="仿宋_GB2312">
    <w:panose1 w:val="02010609030101010101"/>
    <w:charset w:val="86"/>
    <w:family w:val="modern"/>
    <w:pitch w:val="default"/>
    <w:sig w:usb0="00000001" w:usb1="080E0000" w:usb2="00000000" w:usb3="00000000" w:csb0="00040000" w:csb1="00000000"/>
    <w:embedRegular r:id="rId12" w:fontKey="{E8759F37-6EF1-4B26-9288-CF7479C6C1EC}"/>
  </w:font>
  <w:font w:name="微软雅黑">
    <w:panose1 w:val="020B0503020204020204"/>
    <w:charset w:val="86"/>
    <w:family w:val="swiss"/>
    <w:pitch w:val="default"/>
    <w:sig w:usb0="80000287" w:usb1="280F3C52" w:usb2="00000016" w:usb3="00000000" w:csb0="0004001F" w:csb1="00000000"/>
    <w:embedRegular r:id="rId13" w:fontKey="{EE6DEA48-66ED-42D2-93C9-20B89D39C01B}"/>
  </w:font>
  <w:font w:name="楷体_GB2312">
    <w:panose1 w:val="02010609030101010101"/>
    <w:charset w:val="86"/>
    <w:family w:val="modern"/>
    <w:pitch w:val="default"/>
    <w:sig w:usb0="00000001" w:usb1="080E0000" w:usb2="00000000" w:usb3="00000000" w:csb0="00040000" w:csb1="00000000"/>
    <w:embedRegular r:id="rId14" w:fontKey="{F22D8319-1E06-4ADE-94DD-0561A45391D6}"/>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49030"/>
    <w:multiLevelType w:val="singleLevel"/>
    <w:tmpl w:val="85349030"/>
    <w:lvl w:ilvl="0" w:tentative="0">
      <w:start w:val="2"/>
      <w:numFmt w:val="chineseCounting"/>
      <w:suff w:val="nothing"/>
      <w:lvlText w:val="（%1）"/>
      <w:lvlJc w:val="left"/>
      <w:rPr>
        <w:rFonts w:hint="eastAsia"/>
      </w:rPr>
    </w:lvl>
  </w:abstractNum>
  <w:abstractNum w:abstractNumId="1">
    <w:nsid w:val="AB27BF6E"/>
    <w:multiLevelType w:val="singleLevel"/>
    <w:tmpl w:val="AB27BF6E"/>
    <w:lvl w:ilvl="0" w:tentative="0">
      <w:start w:val="2"/>
      <w:numFmt w:val="chineseCounting"/>
      <w:suff w:val="nothing"/>
      <w:lvlText w:val="（%1）"/>
      <w:lvlJc w:val="left"/>
      <w:rPr>
        <w:rFonts w:hint="eastAsia"/>
      </w:rPr>
    </w:lvl>
  </w:abstractNum>
  <w:abstractNum w:abstractNumId="2">
    <w:nsid w:val="F176A0D3"/>
    <w:multiLevelType w:val="singleLevel"/>
    <w:tmpl w:val="F176A0D3"/>
    <w:lvl w:ilvl="0" w:tentative="0">
      <w:start w:val="2"/>
      <w:numFmt w:val="chineseCounting"/>
      <w:suff w:val="nothing"/>
      <w:lvlText w:val="（%1）"/>
      <w:lvlJc w:val="left"/>
      <w:rPr>
        <w:rFonts w:hint="eastAsia"/>
      </w:rPr>
    </w:lvl>
  </w:abstractNum>
  <w:abstractNum w:abstractNumId="3">
    <w:nsid w:val="325E6E83"/>
    <w:multiLevelType w:val="singleLevel"/>
    <w:tmpl w:val="325E6E83"/>
    <w:lvl w:ilvl="0" w:tentative="0">
      <w:start w:val="2"/>
      <w:numFmt w:val="chineseCounting"/>
      <w:suff w:val="nothing"/>
      <w:lvlText w:val="（%1）"/>
      <w:lvlJc w:val="left"/>
      <w:rPr>
        <w:rFonts w:hint="eastAsia"/>
      </w:rPr>
    </w:lvl>
  </w:abstractNum>
  <w:abstractNum w:abstractNumId="4">
    <w:nsid w:val="5913A154"/>
    <w:multiLevelType w:val="singleLevel"/>
    <w:tmpl w:val="5913A154"/>
    <w:lvl w:ilvl="0" w:tentative="0">
      <w:start w:val="2"/>
      <w:numFmt w:val="chineseCounting"/>
      <w:suff w:val="nothing"/>
      <w:lvlText w:val="（%1）"/>
      <w:lvlJc w:val="left"/>
      <w:rPr>
        <w:rFonts w:hint="eastAsia"/>
      </w:rPr>
    </w:lvl>
  </w:abstractNum>
  <w:abstractNum w:abstractNumId="5">
    <w:nsid w:val="5EADE0D1"/>
    <w:multiLevelType w:val="singleLevel"/>
    <w:tmpl w:val="5EADE0D1"/>
    <w:lvl w:ilvl="0" w:tentative="0">
      <w:start w:val="7"/>
      <w:numFmt w:val="chineseCounting"/>
      <w:suff w:val="space"/>
      <w:lvlText w:val="第%1章"/>
      <w:lvlJc w:val="left"/>
      <w:rPr>
        <w:rFonts w:hint="eastAsia"/>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g5ZDc4ZDQzMzg1ZTI1MWU5MGZlNzIxY2I1YjRkOTIifQ=="/>
  </w:docVars>
  <w:rsids>
    <w:rsidRoot w:val="00704E13"/>
    <w:rsid w:val="00000AAB"/>
    <w:rsid w:val="00063540"/>
    <w:rsid w:val="000636DE"/>
    <w:rsid w:val="00080D9E"/>
    <w:rsid w:val="000F0D97"/>
    <w:rsid w:val="00191E44"/>
    <w:rsid w:val="00264526"/>
    <w:rsid w:val="00333374"/>
    <w:rsid w:val="003B4985"/>
    <w:rsid w:val="00452F1F"/>
    <w:rsid w:val="004D09EE"/>
    <w:rsid w:val="004F0D6F"/>
    <w:rsid w:val="00704E13"/>
    <w:rsid w:val="007D4042"/>
    <w:rsid w:val="007D6EE4"/>
    <w:rsid w:val="00965DA1"/>
    <w:rsid w:val="009E10D7"/>
    <w:rsid w:val="00C34A19"/>
    <w:rsid w:val="00C84A86"/>
    <w:rsid w:val="00F138DD"/>
    <w:rsid w:val="012A03EF"/>
    <w:rsid w:val="01A13D48"/>
    <w:rsid w:val="01BD3365"/>
    <w:rsid w:val="01F54391"/>
    <w:rsid w:val="02047884"/>
    <w:rsid w:val="02BF3FB1"/>
    <w:rsid w:val="03501C7D"/>
    <w:rsid w:val="039A2934"/>
    <w:rsid w:val="041304A7"/>
    <w:rsid w:val="0584360D"/>
    <w:rsid w:val="06076B87"/>
    <w:rsid w:val="06106D26"/>
    <w:rsid w:val="064F6D5C"/>
    <w:rsid w:val="066B7903"/>
    <w:rsid w:val="06B062E0"/>
    <w:rsid w:val="07B262D4"/>
    <w:rsid w:val="07DC144E"/>
    <w:rsid w:val="08706377"/>
    <w:rsid w:val="08DB7477"/>
    <w:rsid w:val="09A23A85"/>
    <w:rsid w:val="09BE3C56"/>
    <w:rsid w:val="09DC45FD"/>
    <w:rsid w:val="0A6F3065"/>
    <w:rsid w:val="0B4F4CF3"/>
    <w:rsid w:val="0B64336E"/>
    <w:rsid w:val="0BB81EF1"/>
    <w:rsid w:val="0BCD00F6"/>
    <w:rsid w:val="0C2B6DE8"/>
    <w:rsid w:val="0C5A7E5A"/>
    <w:rsid w:val="0CAA5F64"/>
    <w:rsid w:val="0CC63520"/>
    <w:rsid w:val="0D225E31"/>
    <w:rsid w:val="0E280D7E"/>
    <w:rsid w:val="0E297735"/>
    <w:rsid w:val="0E4C76FD"/>
    <w:rsid w:val="0ED40F77"/>
    <w:rsid w:val="0F085D7C"/>
    <w:rsid w:val="0F7270A4"/>
    <w:rsid w:val="0FB35C27"/>
    <w:rsid w:val="100A5A90"/>
    <w:rsid w:val="1053171B"/>
    <w:rsid w:val="10C13493"/>
    <w:rsid w:val="10C1743B"/>
    <w:rsid w:val="1101235C"/>
    <w:rsid w:val="128C3ADF"/>
    <w:rsid w:val="12A171DD"/>
    <w:rsid w:val="12C97B2D"/>
    <w:rsid w:val="12F53595"/>
    <w:rsid w:val="13727C89"/>
    <w:rsid w:val="14DE6035"/>
    <w:rsid w:val="15136680"/>
    <w:rsid w:val="153A0347"/>
    <w:rsid w:val="15BC0FED"/>
    <w:rsid w:val="15EB4C21"/>
    <w:rsid w:val="167E4D90"/>
    <w:rsid w:val="1751162F"/>
    <w:rsid w:val="17902801"/>
    <w:rsid w:val="17B843DA"/>
    <w:rsid w:val="192C0260"/>
    <w:rsid w:val="1931786B"/>
    <w:rsid w:val="19526A32"/>
    <w:rsid w:val="198B40EB"/>
    <w:rsid w:val="19B67270"/>
    <w:rsid w:val="19D21063"/>
    <w:rsid w:val="1A1B6374"/>
    <w:rsid w:val="1A954296"/>
    <w:rsid w:val="1AB904CE"/>
    <w:rsid w:val="1B3C5B9A"/>
    <w:rsid w:val="1BFC3001"/>
    <w:rsid w:val="1C53060B"/>
    <w:rsid w:val="1C6A1E36"/>
    <w:rsid w:val="1D3C6BFE"/>
    <w:rsid w:val="1DE21542"/>
    <w:rsid w:val="1E1B1567"/>
    <w:rsid w:val="1EB477A2"/>
    <w:rsid w:val="1EE21BD0"/>
    <w:rsid w:val="20175E2F"/>
    <w:rsid w:val="201D2A7E"/>
    <w:rsid w:val="204708B5"/>
    <w:rsid w:val="206A3ECE"/>
    <w:rsid w:val="20D15E2E"/>
    <w:rsid w:val="20DD26C1"/>
    <w:rsid w:val="20E548CE"/>
    <w:rsid w:val="21183827"/>
    <w:rsid w:val="212B30E7"/>
    <w:rsid w:val="21796DFF"/>
    <w:rsid w:val="227E69A3"/>
    <w:rsid w:val="228516A3"/>
    <w:rsid w:val="22A03E4A"/>
    <w:rsid w:val="23064C83"/>
    <w:rsid w:val="23412BC5"/>
    <w:rsid w:val="235B2F19"/>
    <w:rsid w:val="240E6943"/>
    <w:rsid w:val="246E2775"/>
    <w:rsid w:val="254C2061"/>
    <w:rsid w:val="26083125"/>
    <w:rsid w:val="26154AC0"/>
    <w:rsid w:val="26294D6D"/>
    <w:rsid w:val="26603C8C"/>
    <w:rsid w:val="266E5ACC"/>
    <w:rsid w:val="26885255"/>
    <w:rsid w:val="26AA2430"/>
    <w:rsid w:val="27CF7E41"/>
    <w:rsid w:val="28404F8F"/>
    <w:rsid w:val="28525D52"/>
    <w:rsid w:val="28556833"/>
    <w:rsid w:val="286058A1"/>
    <w:rsid w:val="287C6C8E"/>
    <w:rsid w:val="293E6052"/>
    <w:rsid w:val="29AC2E28"/>
    <w:rsid w:val="29BC3CB9"/>
    <w:rsid w:val="29CC22DD"/>
    <w:rsid w:val="2A052728"/>
    <w:rsid w:val="2A836704"/>
    <w:rsid w:val="2A9511C2"/>
    <w:rsid w:val="2ACC7907"/>
    <w:rsid w:val="2AF63FEF"/>
    <w:rsid w:val="2BCC5DDF"/>
    <w:rsid w:val="2BFD4797"/>
    <w:rsid w:val="2C0B3EF9"/>
    <w:rsid w:val="2C1F0A58"/>
    <w:rsid w:val="2DAB11FF"/>
    <w:rsid w:val="2DC8292F"/>
    <w:rsid w:val="2E2040DA"/>
    <w:rsid w:val="2E721670"/>
    <w:rsid w:val="2EF73FFE"/>
    <w:rsid w:val="2FC02334"/>
    <w:rsid w:val="30957A69"/>
    <w:rsid w:val="30ED33A3"/>
    <w:rsid w:val="310B534A"/>
    <w:rsid w:val="31122222"/>
    <w:rsid w:val="31161FF3"/>
    <w:rsid w:val="31762E8B"/>
    <w:rsid w:val="320303F3"/>
    <w:rsid w:val="32E5270E"/>
    <w:rsid w:val="32F07DC7"/>
    <w:rsid w:val="332B3721"/>
    <w:rsid w:val="334C7136"/>
    <w:rsid w:val="3418217B"/>
    <w:rsid w:val="35372754"/>
    <w:rsid w:val="36385DC8"/>
    <w:rsid w:val="366B778E"/>
    <w:rsid w:val="3679658B"/>
    <w:rsid w:val="36AD583F"/>
    <w:rsid w:val="36DB5C91"/>
    <w:rsid w:val="373B2204"/>
    <w:rsid w:val="377D1E7D"/>
    <w:rsid w:val="37AC608F"/>
    <w:rsid w:val="37B166DD"/>
    <w:rsid w:val="38CD307B"/>
    <w:rsid w:val="38F36CCF"/>
    <w:rsid w:val="38FD22F4"/>
    <w:rsid w:val="39722DAC"/>
    <w:rsid w:val="39835836"/>
    <w:rsid w:val="39D94B7E"/>
    <w:rsid w:val="3B0A1E95"/>
    <w:rsid w:val="3B6927F7"/>
    <w:rsid w:val="3BF46DE3"/>
    <w:rsid w:val="3C3275E3"/>
    <w:rsid w:val="3C4E2037"/>
    <w:rsid w:val="3CB47911"/>
    <w:rsid w:val="3D3E697A"/>
    <w:rsid w:val="3D3E7619"/>
    <w:rsid w:val="3EE7508E"/>
    <w:rsid w:val="3F034A6C"/>
    <w:rsid w:val="3F165333"/>
    <w:rsid w:val="3FE95334"/>
    <w:rsid w:val="40103023"/>
    <w:rsid w:val="408473E9"/>
    <w:rsid w:val="40F56024"/>
    <w:rsid w:val="410165C6"/>
    <w:rsid w:val="411506E8"/>
    <w:rsid w:val="41385CAD"/>
    <w:rsid w:val="41395B8C"/>
    <w:rsid w:val="4149387A"/>
    <w:rsid w:val="418400B2"/>
    <w:rsid w:val="41A87659"/>
    <w:rsid w:val="41D425E3"/>
    <w:rsid w:val="42563850"/>
    <w:rsid w:val="42C73380"/>
    <w:rsid w:val="43011D3E"/>
    <w:rsid w:val="43967E49"/>
    <w:rsid w:val="43BD4079"/>
    <w:rsid w:val="43BE751D"/>
    <w:rsid w:val="43E00F58"/>
    <w:rsid w:val="44613C8E"/>
    <w:rsid w:val="44714C86"/>
    <w:rsid w:val="44C54D43"/>
    <w:rsid w:val="45283443"/>
    <w:rsid w:val="452E4087"/>
    <w:rsid w:val="46185412"/>
    <w:rsid w:val="4631060F"/>
    <w:rsid w:val="46E15F7D"/>
    <w:rsid w:val="471309EE"/>
    <w:rsid w:val="47F27B4A"/>
    <w:rsid w:val="48064AB0"/>
    <w:rsid w:val="482F6352"/>
    <w:rsid w:val="487434AA"/>
    <w:rsid w:val="494E5A33"/>
    <w:rsid w:val="4AEB0FED"/>
    <w:rsid w:val="4B04673A"/>
    <w:rsid w:val="4B61662C"/>
    <w:rsid w:val="4DA1432B"/>
    <w:rsid w:val="4DB855FA"/>
    <w:rsid w:val="4E3A2D00"/>
    <w:rsid w:val="4EB33825"/>
    <w:rsid w:val="4FEA6A38"/>
    <w:rsid w:val="4FF5151C"/>
    <w:rsid w:val="505E1AC2"/>
    <w:rsid w:val="50D006CA"/>
    <w:rsid w:val="50D178EB"/>
    <w:rsid w:val="51AC5B48"/>
    <w:rsid w:val="51F43C50"/>
    <w:rsid w:val="52B17A39"/>
    <w:rsid w:val="52D7469A"/>
    <w:rsid w:val="53C27079"/>
    <w:rsid w:val="54743E7C"/>
    <w:rsid w:val="548A5D73"/>
    <w:rsid w:val="54AB4694"/>
    <w:rsid w:val="54AC653D"/>
    <w:rsid w:val="5501688B"/>
    <w:rsid w:val="55311113"/>
    <w:rsid w:val="553E7BA2"/>
    <w:rsid w:val="556E0928"/>
    <w:rsid w:val="55B00EBF"/>
    <w:rsid w:val="56A22E4B"/>
    <w:rsid w:val="56BA6361"/>
    <w:rsid w:val="57240C7B"/>
    <w:rsid w:val="57311821"/>
    <w:rsid w:val="573F6845"/>
    <w:rsid w:val="57AF4EAD"/>
    <w:rsid w:val="584E30A3"/>
    <w:rsid w:val="591B39F3"/>
    <w:rsid w:val="59475B7E"/>
    <w:rsid w:val="595411B9"/>
    <w:rsid w:val="59862439"/>
    <w:rsid w:val="5AA91BA1"/>
    <w:rsid w:val="5AC01127"/>
    <w:rsid w:val="5B2F298E"/>
    <w:rsid w:val="5B363CC1"/>
    <w:rsid w:val="5C066BBB"/>
    <w:rsid w:val="5C145F37"/>
    <w:rsid w:val="5CCD5EDE"/>
    <w:rsid w:val="5F931C32"/>
    <w:rsid w:val="5F9B4FA3"/>
    <w:rsid w:val="60E23930"/>
    <w:rsid w:val="622748D6"/>
    <w:rsid w:val="622D7E5C"/>
    <w:rsid w:val="62C4157E"/>
    <w:rsid w:val="63AA5011"/>
    <w:rsid w:val="64227798"/>
    <w:rsid w:val="64855C14"/>
    <w:rsid w:val="64EC5B59"/>
    <w:rsid w:val="6530014E"/>
    <w:rsid w:val="65305138"/>
    <w:rsid w:val="654C7569"/>
    <w:rsid w:val="65780FD5"/>
    <w:rsid w:val="65986C3E"/>
    <w:rsid w:val="66063C56"/>
    <w:rsid w:val="66161D5A"/>
    <w:rsid w:val="661A0978"/>
    <w:rsid w:val="67947BE6"/>
    <w:rsid w:val="686F3F70"/>
    <w:rsid w:val="69157C2C"/>
    <w:rsid w:val="6A3270EC"/>
    <w:rsid w:val="6AC61BF3"/>
    <w:rsid w:val="6AD15580"/>
    <w:rsid w:val="6AF851CE"/>
    <w:rsid w:val="6B0A1982"/>
    <w:rsid w:val="6C1E57FD"/>
    <w:rsid w:val="6C310F62"/>
    <w:rsid w:val="6C8A6983"/>
    <w:rsid w:val="6CB1759C"/>
    <w:rsid w:val="6CC95BDE"/>
    <w:rsid w:val="6CE23050"/>
    <w:rsid w:val="6E0E49BA"/>
    <w:rsid w:val="6E431292"/>
    <w:rsid w:val="6E510B16"/>
    <w:rsid w:val="6EF433FA"/>
    <w:rsid w:val="6F1A344F"/>
    <w:rsid w:val="6F227736"/>
    <w:rsid w:val="6FF66CC4"/>
    <w:rsid w:val="70374627"/>
    <w:rsid w:val="71CA3850"/>
    <w:rsid w:val="71F653FE"/>
    <w:rsid w:val="720173D8"/>
    <w:rsid w:val="72642053"/>
    <w:rsid w:val="72C448AD"/>
    <w:rsid w:val="72D66E7F"/>
    <w:rsid w:val="73565BCD"/>
    <w:rsid w:val="73BF36B8"/>
    <w:rsid w:val="73C8582B"/>
    <w:rsid w:val="73CA53F5"/>
    <w:rsid w:val="743B084D"/>
    <w:rsid w:val="746E3739"/>
    <w:rsid w:val="748C1F68"/>
    <w:rsid w:val="751B5F60"/>
    <w:rsid w:val="752127D9"/>
    <w:rsid w:val="75655068"/>
    <w:rsid w:val="770E4AD9"/>
    <w:rsid w:val="774C3544"/>
    <w:rsid w:val="77AD25B2"/>
    <w:rsid w:val="77E25727"/>
    <w:rsid w:val="78285898"/>
    <w:rsid w:val="78586AAA"/>
    <w:rsid w:val="78AD3F81"/>
    <w:rsid w:val="78F16A82"/>
    <w:rsid w:val="793577B7"/>
    <w:rsid w:val="7A0905E6"/>
    <w:rsid w:val="7A584315"/>
    <w:rsid w:val="7A9C1DB4"/>
    <w:rsid w:val="7B455F7C"/>
    <w:rsid w:val="7C1863A6"/>
    <w:rsid w:val="7C297960"/>
    <w:rsid w:val="7D7C7E3E"/>
    <w:rsid w:val="7DC74A0E"/>
    <w:rsid w:val="7E4B5CB1"/>
    <w:rsid w:val="7E664B8F"/>
    <w:rsid w:val="7EA15A55"/>
    <w:rsid w:val="7EFA7DE7"/>
    <w:rsid w:val="7F825CAA"/>
    <w:rsid w:val="7FB03C60"/>
    <w:rsid w:val="7FC23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5"/>
    <w:qFormat/>
    <w:uiPriority w:val="0"/>
    <w:pPr>
      <w:keepNext/>
      <w:keepLines/>
      <w:spacing w:before="260" w:after="260" w:line="416" w:lineRule="auto"/>
      <w:outlineLvl w:val="1"/>
    </w:pPr>
    <w:rPr>
      <w:rFonts w:ascii="Arial" w:hAnsi="Arial" w:eastAsia="黑体"/>
      <w:b/>
      <w:bCs/>
      <w:kern w:val="0"/>
      <w:sz w:val="32"/>
      <w:szCs w:val="32"/>
    </w:rPr>
  </w:style>
  <w:style w:type="paragraph" w:styleId="6">
    <w:name w:val="heading 3"/>
    <w:basedOn w:val="1"/>
    <w:next w:val="1"/>
    <w:link w:val="22"/>
    <w:unhideWhenUsed/>
    <w:qFormat/>
    <w:uiPriority w:val="0"/>
    <w:pPr>
      <w:keepNext/>
      <w:keepLines/>
      <w:spacing w:before="260" w:after="260" w:line="413" w:lineRule="auto"/>
      <w:outlineLvl w:val="2"/>
    </w:pPr>
    <w:rPr>
      <w:b/>
      <w:sz w:val="32"/>
    </w:rPr>
  </w:style>
  <w:style w:type="paragraph" w:styleId="7">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5">
    <w:name w:val="Normal Indent"/>
    <w:basedOn w:val="1"/>
    <w:qFormat/>
    <w:uiPriority w:val="0"/>
    <w:pPr>
      <w:spacing w:line="300" w:lineRule="auto"/>
      <w:ind w:firstLine="482"/>
    </w:pPr>
    <w:rPr>
      <w:sz w:val="24"/>
    </w:rPr>
  </w:style>
  <w:style w:type="paragraph" w:styleId="8">
    <w:name w:val="Balloon Text"/>
    <w:basedOn w:val="1"/>
    <w:link w:val="25"/>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4">
    <w:name w:val="Body Text First Indent"/>
    <w:basedOn w:val="1"/>
    <w:qFormat/>
    <w:uiPriority w:val="0"/>
    <w:pPr>
      <w:widowControl/>
      <w:spacing w:line="360" w:lineRule="exact"/>
      <w:ind w:firstLine="480" w:firstLineChars="200"/>
    </w:pPr>
    <w:rPr>
      <w:kern w:val="0"/>
      <w:sz w:val="24"/>
      <w:szCs w:val="24"/>
    </w:rPr>
  </w:style>
  <w:style w:type="table" w:styleId="16">
    <w:name w:val="Table Grid"/>
    <w:basedOn w:val="15"/>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8">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9">
    <w:name w:val="WPSOffice手动目录 1"/>
    <w:qFormat/>
    <w:uiPriority w:val="0"/>
    <w:rPr>
      <w:rFonts w:ascii="Times New Roman" w:hAnsi="Times New Roman" w:eastAsia="宋体" w:cs="Times New Roman"/>
      <w:lang w:val="en-US" w:eastAsia="zh-CN" w:bidi="ar-SA"/>
    </w:rPr>
  </w:style>
  <w:style w:type="paragraph" w:customStyle="1" w:styleId="2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1">
    <w:name w:val="Heading 3 Char"/>
    <w:basedOn w:val="17"/>
    <w:qFormat/>
    <w:locked/>
    <w:uiPriority w:val="0"/>
    <w:rPr>
      <w:rFonts w:ascii="方正正黑_GBK" w:hAnsi="Times New Roman" w:eastAsia="方正正黑_GBK" w:cs="Times New Roman"/>
      <w:color w:val="000000"/>
      <w:kern w:val="0"/>
      <w:sz w:val="32"/>
      <w:szCs w:val="32"/>
    </w:rPr>
  </w:style>
  <w:style w:type="character" w:customStyle="1" w:styleId="22">
    <w:name w:val="标题 3 字符"/>
    <w:link w:val="6"/>
    <w:qFormat/>
    <w:locked/>
    <w:uiPriority w:val="99"/>
    <w:rPr>
      <w:b/>
      <w:sz w:val="32"/>
    </w:rPr>
  </w:style>
  <w:style w:type="paragraph" w:customStyle="1" w:styleId="23">
    <w:name w:val="000 说明书文本 + 首行缩进:  2 字符"/>
    <w:basedOn w:val="24"/>
    <w:qFormat/>
    <w:uiPriority w:val="0"/>
    <w:pPr>
      <w:ind w:firstLine="480"/>
    </w:pPr>
  </w:style>
  <w:style w:type="paragraph" w:customStyle="1" w:styleId="24">
    <w:name w:val="说明书文本"/>
    <w:basedOn w:val="14"/>
    <w:qFormat/>
    <w:uiPriority w:val="0"/>
    <w:pPr>
      <w:spacing w:line="360" w:lineRule="auto"/>
      <w:ind w:firstLine="200"/>
    </w:pPr>
    <w:rPr>
      <w:rFonts w:cs="宋体"/>
      <w:szCs w:val="20"/>
    </w:rPr>
  </w:style>
  <w:style w:type="character" w:customStyle="1" w:styleId="25">
    <w:name w:val="批注框文本 字符"/>
    <w:basedOn w:val="17"/>
    <w:link w:val="8"/>
    <w:qFormat/>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99</Pages>
  <Words>7150</Words>
  <Characters>40757</Characters>
  <Lines>339</Lines>
  <Paragraphs>95</Paragraphs>
  <TotalTime>22</TotalTime>
  <ScaleCrop>false</ScaleCrop>
  <LinksUpToDate>false</LinksUpToDate>
  <CharactersWithSpaces>47812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2021-07-22T08:00:00Z</dcterms:created>
  <dc:creator>YCGHY</dc:creator>
  <cp:lastModifiedBy>Administrator</cp:lastModifiedBy>
  <cp:lastPrinted>2021-07-05T08:45:00Z</cp:lastPrinted>
  <dcterms:modified xsi:type="dcterms:W3CDTF">2023-10-23T02:49:49Z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70BC0079A1B74B2FAE7C53536B3F0929</vt:lpwstr>
  </property>
  <property fmtid="{D5CDD505-2E9C-101B-9397-08002B2CF9AE}" pid="4" name="KSOSaveFontToCloudKey">
    <vt:lpwstr>796480263_btnclosed</vt:lpwstr>
  </property>
</Properties>
</file>