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5E" w:rsidRDefault="0092165E" w:rsidP="0092165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92165E" w:rsidRDefault="0092165E" w:rsidP="0092165E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2165E" w:rsidRDefault="0092165E" w:rsidP="0092165E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关于探索开展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全市林票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交易工作的实施方案（试行）</w:t>
      </w:r>
    </w:p>
    <w:bookmarkEnd w:id="0"/>
    <w:p w:rsidR="0092165E" w:rsidRDefault="0092165E" w:rsidP="0092165E">
      <w:pPr>
        <w:pStyle w:val="a3"/>
        <w:widowControl/>
        <w:spacing w:beforeAutospacing="0" w:afterAutospacing="0" w:line="560" w:lineRule="exact"/>
        <w:jc w:val="both"/>
        <w:rPr>
          <w:rStyle w:val="a4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平生态文明思想，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绿水青山就是金山银山的发展理念，盘活银川市山林地资源，实现山林资源变资产、资产变资本，进一步加强保护和改善森林生态，提高市民绿色低碳生活意识，助力“双碳”目标实现，结合我市实际，现就推行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林票试点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工作提出如下实施方案。</w:t>
      </w:r>
    </w:p>
    <w:p w:rsidR="0092165E" w:rsidRDefault="0092165E" w:rsidP="0092165E">
      <w:pPr>
        <w:pStyle w:val="a3"/>
        <w:widowControl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总体要求</w:t>
      </w:r>
    </w:p>
    <w:p w:rsidR="0092165E" w:rsidRDefault="0092165E" w:rsidP="0092165E">
      <w:pPr>
        <w:pStyle w:val="a3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jc w:val="both"/>
        <w:rPr>
          <w:rFonts w:ascii="楷体" w:eastAsia="楷体" w:hAnsi="楷体" w:cs="楷体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指导思想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以习近平生态文明思想为指导，全面落实党的二十大精神，认真学习贯彻习近平总书记视察宁夏重要讲话精神，以先行区建设为统领，坚定不移坚持新发展理念，坚持生态优先、绿色发展，推进山林生态价值转化增值、生态效益优化提升、生态环境持续好转，构建“绿水青山就是金山银山”的价值实现机制，持续深化山林权改革，创新推动实现国土增绿、林业增效、农民增收。</w:t>
      </w:r>
    </w:p>
    <w:p w:rsidR="0092165E" w:rsidRDefault="0092165E" w:rsidP="0092165E">
      <w:pPr>
        <w:pStyle w:val="a3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jc w:val="both"/>
        <w:rPr>
          <w:rStyle w:val="a4"/>
          <w:rFonts w:ascii="楷体" w:eastAsia="楷体" w:hAnsi="楷体" w:cs="楷体"/>
          <w:b w:val="0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基本原则</w:t>
      </w:r>
    </w:p>
    <w:p w:rsidR="0092165E" w:rsidRDefault="0092165E" w:rsidP="0092165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生态优先、保护为主</w:t>
      </w:r>
      <w:r>
        <w:rPr>
          <w:rFonts w:ascii="仿宋_GB2312" w:eastAsia="仿宋_GB2312" w:hAnsi="仿宋_GB2312" w:cs="仿宋_GB2312" w:hint="eastAsia"/>
          <w:sz w:val="32"/>
          <w:szCs w:val="32"/>
        </w:rPr>
        <w:t>。充分认识到全市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森林资源底量不足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、结构不稳的现状，顺应森林生态系统建设发展规律，着力加强生态保护治理，持续提高林木成活率、森林覆盖率，增强生态功能、维护生态安全。</w:t>
      </w:r>
    </w:p>
    <w:p w:rsidR="0092165E" w:rsidRDefault="0092165E" w:rsidP="0092165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深化改革、激发活力</w:t>
      </w:r>
      <w:r>
        <w:rPr>
          <w:rFonts w:ascii="仿宋_GB2312" w:eastAsia="仿宋_GB2312" w:hAnsi="仿宋_GB2312" w:cs="仿宋_GB2312" w:hint="eastAsia"/>
          <w:sz w:val="32"/>
          <w:szCs w:val="32"/>
        </w:rPr>
        <w:t>。充分发挥市场在资源配置中的决定性作用，强化政策引导、加大财政支持，活化经营机制、激发市场活力，带动各类生产要素向林业聚集，形成市场化、多元化、社会化发展格局，提高山林资源配置效率。</w:t>
      </w:r>
    </w:p>
    <w:p w:rsidR="0092165E" w:rsidRDefault="0092165E" w:rsidP="0092165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以票代证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、内部流通</w:t>
      </w:r>
      <w:r>
        <w:rPr>
          <w:rFonts w:ascii="仿宋_GB2312" w:eastAsia="仿宋_GB2312" w:hAnsi="仿宋_GB2312" w:cs="仿宋_GB2312" w:hint="eastAsia"/>
          <w:sz w:val="32"/>
          <w:szCs w:val="32"/>
        </w:rPr>
        <w:t>。以“林票”破题，打通山林资源转化现实资本新路径，配套相应政策、给予多方支持，确保全市流通顺畅、公众企业认可，在流转交易中进一步发展完善。</w:t>
      </w:r>
    </w:p>
    <w:p w:rsidR="0092165E" w:rsidRDefault="0092165E" w:rsidP="0092165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先行先试、灵活调整</w:t>
      </w:r>
      <w:r>
        <w:rPr>
          <w:rFonts w:ascii="仿宋_GB2312" w:eastAsia="仿宋_GB2312" w:hAnsi="仿宋_GB2312" w:cs="仿宋_GB2312" w:hint="eastAsia"/>
          <w:sz w:val="32"/>
          <w:szCs w:val="32"/>
        </w:rPr>
        <w:t>。开展政策制度创新试验，允许试错、及时纠错、修正完善，激发和保护改革的积极性，及时总结推广典型案例和经验做法，形成示范效应，确保改革取得实效。</w:t>
      </w:r>
    </w:p>
    <w:p w:rsidR="0092165E" w:rsidRDefault="0092165E" w:rsidP="0092165E">
      <w:pPr>
        <w:pStyle w:val="a3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jc w:val="both"/>
        <w:rPr>
          <w:rFonts w:ascii="楷体" w:eastAsia="楷体" w:hAnsi="楷体" w:cs="楷体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工作目标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到2023年底，在银川市全面开展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林票试点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工作，基本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构建林票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交易体系，进一步盘活山林地资源。到2024年，积极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推行林票制度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落实，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推进林票标准化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、规范化运行。到2025年，全面总结提升工作水平，形成可复制、可推广的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林票标准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和规范，为激活绿色产业发展潜能，推动全市生态文明建设提供支撑。</w:t>
      </w:r>
    </w:p>
    <w:p w:rsidR="0092165E" w:rsidRDefault="0092165E" w:rsidP="0092165E">
      <w:pPr>
        <w:pStyle w:val="a3"/>
        <w:widowControl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proofErr w:type="gramStart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林票概念</w:t>
      </w:r>
      <w:proofErr w:type="gramEnd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及适用范围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林票概念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：分为集体林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地林票、碳汇林票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三类。集体林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只对应所指片区地上林木的所有权；集体林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指集体、个人（林业大户）等所有的林木等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面积林票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指国有林地等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面积林票，碳汇林票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指政府定价后定额发放的，用于鼓励群众自愿购买抵消碳排放、履行义务植树尽责率等的凭证。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林票适用范围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：银川市集体林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试行林木资源价值换购机制，集体林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仅限在银川市内流通交易。集体林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持有人必须履行林木管护职责，国有林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林木管护职责由国有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企事业单位依职履行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。鼓励个人、企业、机关单位等社会主体以认购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碳汇林票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的方式，抵减出行、会议、大型活动等方面产生的碳排放，通过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购买林票的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方式履行义务植树义务。</w:t>
      </w:r>
    </w:p>
    <w:p w:rsidR="0092165E" w:rsidRDefault="0092165E" w:rsidP="0092165E">
      <w:pPr>
        <w:pStyle w:val="a3"/>
        <w:widowControl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重点任务</w:t>
      </w:r>
    </w:p>
    <w:p w:rsidR="0092165E" w:rsidRDefault="0092165E" w:rsidP="0092165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林票获取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途径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获取途径。村集体、个人（林业大户）等所有的林权清晰、权属明确、无纠纷、无侵占的林地，经确权登记颁证后，可向属地有关部门申请集体林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，经县级人民政府审核通过后发放。鼓励社会主体根据发展需要，通过收储集体林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等方式，依法依规开展规模经营、合作经营等工作。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拟新造林的社会主体提出申请后，由辖区政府负责签订造林协议并监督完成造林，经验收合格后，可向辖区政府申请集体林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牵头单位：各县（市）区人民政府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配合单位：市自然资源局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获取途径。国有林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由完成造林的国有企事业单位向属地有关部门提出申请，并提供申请片区林木面积、范围（四至）、林木种类及数量等，经本级林草主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管部门审核通过后，向申请人发放国有林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。进行建设项目绿地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占用占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补平衡、绿地率指标置换的企业，可向辖区绿化委员会办公室提出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林票购买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申请，经市级园林主管部门审核同意后，与林草主管部门共同发放并登记造册。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牵头单位：市自然资源局，各县（市）区人民政府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配合单位：市园林管理局、国资委</w:t>
      </w:r>
    </w:p>
    <w:p w:rsidR="0092165E" w:rsidRDefault="0092165E" w:rsidP="0092165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林票使用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途径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地林票作为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林农的股权凭证，在集体林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地林票申请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通过后发放给村集体、个人（林业大户），村集体、个人（林业大户）可与相关经营主体以入股经营、合作经营等形式发展林业；鼓励企业、合作社等经营主体根据发展需求出资认购一定比例集体林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，扩大发展规模。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牵头单位：各县（市）区人民政府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配合单位：市自然资源局、财政局、金融工作局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可用于建城区内企业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新建、扩建、改建工程建设项目和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商住类开发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住宅区建设等建设项目绿地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占用占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补平衡、绿地率指标置换。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牵头单位：市园林管理局、自然资源局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配合单位：市财政局、国资委，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兴庆区、金凤区、西夏区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地林票可用于开展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生态保护补偿工作，在办理森林资源失火、盗伐、故意毁坏林木及非法占用林地等违法违规案件时，除采取罚款、没收相关财物或责令停止违法行为等处罚措施外，可责令被处罚人通过认购国有林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形式开展生态补偿，异地补偿相应数量树木或恢复相应数量林地。</w:t>
      </w:r>
    </w:p>
    <w:p w:rsidR="0092165E" w:rsidRDefault="0092165E" w:rsidP="0092165E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 w:val="0"/>
          <w:szCs w:val="32"/>
        </w:rPr>
        <w:t>牵头单位：市检察院、自然资源局</w:t>
      </w:r>
    </w:p>
    <w:p w:rsidR="0092165E" w:rsidRDefault="0092165E" w:rsidP="0092165E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 w:val="0"/>
          <w:szCs w:val="32"/>
        </w:rPr>
        <w:t>配合单位：市公安局、园林局，各县（市）区人民政府</w:t>
      </w:r>
    </w:p>
    <w:p w:rsidR="0092165E" w:rsidRDefault="0092165E" w:rsidP="0092165E">
      <w:pPr>
        <w:spacing w:line="560" w:lineRule="exact"/>
        <w:ind w:firstLineChars="200" w:firstLine="640"/>
        <w:rPr>
          <w:rFonts w:ascii="楷体" w:eastAsia="楷体" w:hAnsi="楷体" w:cs="楷体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（三）探索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碳汇</w:t>
      </w: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林票</w:t>
      </w:r>
      <w:proofErr w:type="gramEnd"/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探索推动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碳汇林票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自愿交易，以“1元钱”为基准价格，积极引导</w:t>
      </w:r>
      <w:r>
        <w:rPr>
          <w:rFonts w:ascii="仿宋_GB2312" w:eastAsia="仿宋_GB2312" w:hAnsi="仿宋_GB2312" w:cs="仿宋_GB2312"/>
          <w:sz w:val="32"/>
          <w:szCs w:val="32"/>
        </w:rPr>
        <w:t>个人、企业和机关部门参与交易，鼓励社会主体自愿参与到“双碳”目标建设中来，以认购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碳汇</w:t>
      </w:r>
      <w:r>
        <w:rPr>
          <w:rFonts w:ascii="仿宋_GB2312" w:eastAsia="仿宋_GB2312" w:hAnsi="仿宋_GB2312" w:cs="仿宋_GB2312"/>
          <w:sz w:val="32"/>
          <w:szCs w:val="32"/>
        </w:rPr>
        <w:t>林票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的方式，抵减出行、会议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、大型活动</w:t>
      </w:r>
      <w:r>
        <w:rPr>
          <w:rFonts w:ascii="仿宋_GB2312" w:eastAsia="仿宋_GB2312" w:hAnsi="仿宋_GB2312" w:cs="仿宋_GB2312"/>
          <w:sz w:val="32"/>
          <w:szCs w:val="32"/>
        </w:rPr>
        <w:t>等方面产生的碳排放，同时倡导市民以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购买林票的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方式完成义务植树尽责率。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牵头单位：市自然资源局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配合单位：市绿委办各成员单位，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各县（市）区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</w:p>
    <w:p w:rsidR="0092165E" w:rsidRDefault="0092165E" w:rsidP="0092165E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（四）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林票制发</w:t>
      </w:r>
      <w:proofErr w:type="gramEnd"/>
    </w:p>
    <w:p w:rsidR="0092165E" w:rsidRDefault="0092165E" w:rsidP="0092165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由各县（市）区人民政府制发。国有林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由本级林草主管部门制发。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林票制发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原则通过市级“六权”改革一体化服务平台线上办理。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发单位负责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建立林票登记簿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制度，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对林票持有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、继承、转让、补发等事项进行登记备案，实时掌控变动信息。 </w:t>
      </w:r>
    </w:p>
    <w:p w:rsidR="0092165E" w:rsidRDefault="0092165E" w:rsidP="0092165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牵头单位：各县（市）区人民政府、市自然资源局</w:t>
      </w:r>
    </w:p>
    <w:p w:rsidR="0092165E" w:rsidRDefault="0092165E" w:rsidP="0092165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配合单位：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市发改委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、财政局、国资委、园林管理局</w:t>
      </w:r>
    </w:p>
    <w:p w:rsidR="0092165E" w:rsidRDefault="0092165E" w:rsidP="0092165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林票收益</w:t>
      </w:r>
      <w:proofErr w:type="gramEnd"/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1.规范集体林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收益。企业、合作社等经营主体通过造林或经营现有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林获得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收益，村集体、个人（林业大户）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认购比例获得分红。村集体所获收益由集体所有。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牵头单位：各县（市）区人民政府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配合单位：市自然资源局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2.规范国有林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收益。国有林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所获收益由财政部门统一管理，优先用于全市林草湿等资源保护、建设、管理，园林绿化管理建设等相关工作。</w:t>
      </w:r>
    </w:p>
    <w:p w:rsidR="0092165E" w:rsidRDefault="0092165E" w:rsidP="0092165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牵头单位：市自然资源局、园林管理局、财政局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配合单位：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各县（市）区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3.规范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碳汇林票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收益。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碳汇林票作为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面向社会开展交易的公益性林票，所获收益由财政部门统一管理，优先用于全市林草湿等资源保护、建设、管理等相关工作。</w:t>
      </w:r>
    </w:p>
    <w:p w:rsidR="0092165E" w:rsidRDefault="0092165E" w:rsidP="0092165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牵头单位：市自然资源局、财政局</w:t>
      </w:r>
    </w:p>
    <w:p w:rsidR="0092165E" w:rsidRDefault="0092165E" w:rsidP="009216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配合单位：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各县（市）区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</w:p>
    <w:p w:rsidR="0092165E" w:rsidRDefault="0092165E" w:rsidP="0092165E">
      <w:pPr>
        <w:pStyle w:val="a3"/>
        <w:widowControl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保障措施                                                  </w:t>
      </w:r>
    </w:p>
    <w:p w:rsidR="0092165E" w:rsidRDefault="0092165E" w:rsidP="0092165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（一）加强组织保障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。由市自然资源局负责具体推行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林票改革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的指导和协调工作，各县（市）区负责推行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林票改革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的宣传引导、制定计划、组织实施等，并确定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名分管领导具体负责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林票改革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工作，确保改革有序开展，稳步推进，取得成效。 </w:t>
      </w:r>
    </w:p>
    <w:p w:rsidR="0092165E" w:rsidRDefault="0092165E" w:rsidP="0092165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（二）鼓励探索创新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。各单位要充分认识试点工作的重要意义，有关部门、国有林业企事业单位要积极配合，主动作为，结合实际开展试点，切实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做好林票制发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林票交易及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林票动态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管理等工作，积极探索工作机制和方式方法，发挥示范带动效应，为试点工作积累经验。</w:t>
      </w:r>
    </w:p>
    <w:p w:rsidR="0092165E" w:rsidRDefault="0092165E" w:rsidP="0092165E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Helvetica" w:eastAsia="宋体" w:hAnsi="Helvetica" w:cs="Helvetica"/>
          <w:color w:val="000000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（三）强化考核监督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。市林草主管部门、园林部门，各县（市）区人民政府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负责林票监管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，对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林票使用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情况进行督查检查。集体林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地林票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进行交易的，应向村委会、辖区政府及市级林草主管部门备案。各级林草主管部门负责对国有林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地林票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公益林票所属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的林木资源进行监管。</w:t>
      </w:r>
    </w:p>
    <w:p w:rsidR="0092165E" w:rsidRDefault="0092165E" w:rsidP="009216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（四）强化技术服务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。加强造林绿化、林业新品种、新技术和新模式引进示范推广，引导指导经营主体高标准、高质量造林。同时，开通审批服务绿色通道。针对造林项目涉及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的发改立项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、林地、土地项目审批等有关事宜，协调相关单位制定科学规范简洁的办理流程，做到从简从速办理。</w:t>
      </w:r>
    </w:p>
    <w:p w:rsidR="0092165E" w:rsidRDefault="0092165E" w:rsidP="009216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F53C5" w:rsidRPr="0092165E" w:rsidRDefault="009F53C5"/>
    <w:sectPr w:rsidR="009F53C5" w:rsidRPr="0092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2BE366"/>
    <w:multiLevelType w:val="singleLevel"/>
    <w:tmpl w:val="C72BE366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color w:val="auto"/>
      </w:rPr>
    </w:lvl>
  </w:abstractNum>
  <w:abstractNum w:abstractNumId="1" w15:restartNumberingAfterBreak="0">
    <w:nsid w:val="27CA783E"/>
    <w:multiLevelType w:val="singleLevel"/>
    <w:tmpl w:val="27CA783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5E"/>
    <w:rsid w:val="0092165E"/>
    <w:rsid w:val="009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46CF"/>
  <w15:chartTrackingRefBased/>
  <w15:docId w15:val="{6F22D0EB-2866-41B3-A459-FDE55B71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5E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92165E"/>
    <w:pPr>
      <w:keepNext/>
      <w:keepLines/>
      <w:spacing w:line="416" w:lineRule="auto"/>
      <w:outlineLvl w:val="1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2165E"/>
    <w:rPr>
      <w:rFonts w:ascii="Cambria" w:hAnsi="Cambria"/>
      <w:b/>
      <w:sz w:val="32"/>
      <w:szCs w:val="24"/>
    </w:rPr>
  </w:style>
  <w:style w:type="paragraph" w:styleId="a3">
    <w:name w:val="Normal (Web)"/>
    <w:basedOn w:val="a"/>
    <w:qFormat/>
    <w:rsid w:val="0092165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165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494</Words>
  <Characters>2821</Characters>
  <Application>Microsoft Office Word</Application>
  <DocSecurity>0</DocSecurity>
  <Lines>23</Lines>
  <Paragraphs>6</Paragraphs>
  <ScaleCrop>false</ScaleCrop>
  <Company>微软中国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陈寒星</dc:creator>
  <cp:keywords/>
  <dc:description/>
  <cp:lastModifiedBy>陈寒星</cp:lastModifiedBy>
  <cp:revision>1</cp:revision>
  <dcterms:created xsi:type="dcterms:W3CDTF">2023-09-06T08:14:00Z</dcterms:created>
  <dcterms:modified xsi:type="dcterms:W3CDTF">2023-09-06T08:14:00Z</dcterms:modified>
</cp:coreProperties>
</file>