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银川市公务员局权责清单</w:t>
      </w:r>
    </w:p>
    <w:tbl>
      <w:tblPr>
        <w:tblStyle w:val="4"/>
        <w:tblW w:w="1512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04"/>
        <w:gridCol w:w="738"/>
        <w:gridCol w:w="694"/>
        <w:gridCol w:w="562"/>
        <w:gridCol w:w="1032"/>
        <w:gridCol w:w="1068"/>
        <w:gridCol w:w="975"/>
        <w:gridCol w:w="900"/>
        <w:gridCol w:w="2175"/>
        <w:gridCol w:w="1519"/>
        <w:gridCol w:w="2119"/>
        <w:gridCol w:w="825"/>
        <w:gridCol w:w="1630"/>
        <w:gridCol w:w="48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75" w:hRule="atLeast"/>
        </w:trPr>
        <w:tc>
          <w:tcPr>
            <w:tcW w:w="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0" w:lineRule="exact"/>
              <w:jc w:val="center"/>
              <w:textAlignment w:val="center"/>
              <w:outlineLvl w:val="9"/>
              <w:rPr>
                <w:rFonts w:hint="default" w:ascii="Times New Roman" w:hAnsi="Times New Roman" w:eastAsia="黑体" w:cs="Times New Roman"/>
                <w:b w:val="0"/>
                <w:bCs/>
                <w:i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0" w:lineRule="exact"/>
              <w:jc w:val="center"/>
              <w:textAlignment w:val="center"/>
              <w:outlineLvl w:val="9"/>
              <w:rPr>
                <w:rFonts w:hint="default" w:ascii="Times New Roman" w:hAnsi="Times New Roman" w:eastAsia="黑体" w:cs="Times New Roman"/>
                <w:b w:val="0"/>
                <w:bCs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事项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0" w:lineRule="exact"/>
              <w:jc w:val="center"/>
              <w:textAlignment w:val="center"/>
              <w:outlineLvl w:val="9"/>
              <w:rPr>
                <w:rFonts w:hint="default" w:ascii="Times New Roman" w:hAnsi="Times New Roman" w:eastAsia="黑体" w:cs="Times New Roman"/>
                <w:b w:val="0"/>
                <w:bCs/>
                <w:i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0" w:lineRule="exact"/>
              <w:jc w:val="center"/>
              <w:textAlignment w:val="center"/>
              <w:outlineLvl w:val="9"/>
              <w:rPr>
                <w:rFonts w:hint="default" w:ascii="Times New Roman" w:hAnsi="Times New Roman" w:eastAsia="黑体" w:cs="Times New Roman"/>
                <w:b w:val="0"/>
                <w:bCs/>
                <w:i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子项名称</w:t>
            </w:r>
            <w:r>
              <w:rPr>
                <w:rFonts w:hint="default" w:ascii="Times New Roman" w:hAnsi="Times New Roman" w:eastAsia="黑体" w:cs="Times New Roman"/>
                <w:b w:val="0"/>
                <w:bCs/>
                <w:i w:val="0"/>
                <w:color w:val="000000" w:themeColor="text1"/>
                <w:spacing w:val="0"/>
                <w:kern w:val="0"/>
                <w:sz w:val="15"/>
                <w:szCs w:val="15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（无子项时无需填写</w:t>
            </w:r>
            <w:r>
              <w:rPr>
                <w:rFonts w:hint="default" w:ascii="Times New Roman" w:hAnsi="Times New Roman" w:eastAsia="黑体" w:cs="Times New Roman"/>
                <w:b w:val="0"/>
                <w:bCs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0" w:lineRule="exact"/>
              <w:jc w:val="center"/>
              <w:textAlignment w:val="center"/>
              <w:outlineLvl w:val="9"/>
              <w:rPr>
                <w:rFonts w:hint="default" w:ascii="Times New Roman" w:hAnsi="Times New Roman" w:eastAsia="黑体" w:cs="Times New Roman"/>
                <w:b w:val="0"/>
                <w:bCs/>
                <w:i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权力类型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0" w:lineRule="exact"/>
              <w:jc w:val="center"/>
              <w:textAlignment w:val="center"/>
              <w:outlineLvl w:val="9"/>
              <w:rPr>
                <w:rFonts w:hint="default" w:ascii="Times New Roman" w:hAnsi="Times New Roman" w:eastAsia="黑体" w:cs="Times New Roman"/>
                <w:b w:val="0"/>
                <w:bCs/>
                <w:i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地方权力编码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0" w:lineRule="exact"/>
              <w:jc w:val="center"/>
              <w:textAlignment w:val="center"/>
              <w:outlineLvl w:val="9"/>
              <w:rPr>
                <w:rFonts w:hint="default" w:ascii="Times New Roman" w:hAnsi="Times New Roman" w:eastAsia="黑体" w:cs="Times New Roman"/>
                <w:b w:val="0"/>
                <w:bCs/>
                <w:i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子项地方权力编码</w:t>
            </w:r>
            <w:r>
              <w:rPr>
                <w:rFonts w:hint="default" w:ascii="Times New Roman" w:hAnsi="Times New Roman" w:eastAsia="黑体" w:cs="Times New Roman"/>
                <w:b w:val="0"/>
                <w:bCs/>
                <w:i w:val="0"/>
                <w:color w:val="000000" w:themeColor="text1"/>
                <w:spacing w:val="0"/>
                <w:kern w:val="0"/>
                <w:sz w:val="15"/>
                <w:szCs w:val="15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（无子项时无需填写）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0" w:lineRule="exact"/>
              <w:jc w:val="center"/>
              <w:textAlignment w:val="center"/>
              <w:outlineLvl w:val="9"/>
              <w:rPr>
                <w:rFonts w:hint="default" w:ascii="Times New Roman" w:hAnsi="Times New Roman" w:eastAsia="黑体" w:cs="Times New Roman"/>
                <w:b w:val="0"/>
                <w:bCs/>
                <w:i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行使主体（</w:t>
            </w:r>
            <w:r>
              <w:rPr>
                <w:rFonts w:hint="default" w:ascii="Times New Roman" w:hAnsi="Times New Roman" w:eastAsia="黑体" w:cs="Times New Roman"/>
                <w:b w:val="0"/>
                <w:bCs/>
                <w:i w:val="0"/>
                <w:color w:val="000000" w:themeColor="text1"/>
                <w:spacing w:val="0"/>
                <w:kern w:val="0"/>
                <w:sz w:val="15"/>
                <w:szCs w:val="15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所属部门）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0" w:lineRule="exact"/>
              <w:jc w:val="center"/>
              <w:textAlignment w:val="center"/>
              <w:outlineLvl w:val="9"/>
              <w:rPr>
                <w:rFonts w:hint="default" w:ascii="Times New Roman" w:hAnsi="Times New Roman" w:eastAsia="黑体" w:cs="Times New Roman"/>
                <w:b w:val="0"/>
                <w:bCs/>
                <w:i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承办机构</w:t>
            </w:r>
            <w:r>
              <w:rPr>
                <w:rFonts w:hint="default" w:ascii="Times New Roman" w:hAnsi="Times New Roman" w:eastAsia="黑体" w:cs="Times New Roman"/>
                <w:b w:val="0"/>
                <w:bCs/>
                <w:i w:val="0"/>
                <w:color w:val="000000" w:themeColor="text1"/>
                <w:spacing w:val="0"/>
                <w:kern w:val="0"/>
                <w:sz w:val="15"/>
                <w:szCs w:val="15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（实施主体）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0" w:lineRule="exact"/>
              <w:jc w:val="center"/>
              <w:textAlignment w:val="center"/>
              <w:outlineLvl w:val="9"/>
              <w:rPr>
                <w:rFonts w:hint="default" w:ascii="Times New Roman" w:hAnsi="Times New Roman" w:eastAsia="黑体" w:cs="Times New Roman"/>
                <w:b w:val="0"/>
                <w:bCs/>
                <w:i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实施依据</w:t>
            </w:r>
          </w:p>
        </w:tc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0" w:lineRule="exact"/>
              <w:jc w:val="center"/>
              <w:textAlignment w:val="center"/>
              <w:outlineLvl w:val="9"/>
              <w:rPr>
                <w:rFonts w:hint="default" w:ascii="Times New Roman" w:hAnsi="Times New Roman" w:eastAsia="黑体" w:cs="Times New Roman"/>
                <w:b w:val="0"/>
                <w:bCs/>
                <w:i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责任事项内容</w:t>
            </w: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0" w:lineRule="exact"/>
              <w:jc w:val="center"/>
              <w:textAlignment w:val="center"/>
              <w:outlineLvl w:val="9"/>
              <w:rPr>
                <w:rFonts w:hint="default" w:ascii="Times New Roman" w:hAnsi="Times New Roman" w:eastAsia="黑体" w:cs="Times New Roman"/>
                <w:b w:val="0"/>
                <w:bCs/>
                <w:i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责任事项依据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0" w:lineRule="exact"/>
              <w:jc w:val="center"/>
              <w:textAlignment w:val="center"/>
              <w:outlineLvl w:val="9"/>
              <w:rPr>
                <w:rFonts w:hint="default" w:ascii="Times New Roman" w:hAnsi="Times New Roman" w:eastAsia="黑体" w:cs="Times New Roman"/>
                <w:b w:val="0"/>
                <w:bCs/>
                <w:i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追责对象范围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0" w:lineRule="exact"/>
              <w:jc w:val="center"/>
              <w:textAlignment w:val="center"/>
              <w:outlineLvl w:val="9"/>
              <w:rPr>
                <w:rFonts w:hint="default" w:ascii="Times New Roman" w:hAnsi="Times New Roman" w:eastAsia="黑体" w:cs="Times New Roman"/>
                <w:b w:val="0"/>
                <w:bCs/>
                <w:i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追责情形</w:t>
            </w:r>
          </w:p>
        </w:tc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0" w:lineRule="exact"/>
              <w:jc w:val="center"/>
              <w:textAlignment w:val="center"/>
              <w:outlineLvl w:val="9"/>
              <w:rPr>
                <w:rFonts w:hint="default" w:ascii="Times New Roman" w:hAnsi="Times New Roman" w:eastAsia="黑体" w:cs="Times New Roman"/>
                <w:b w:val="0"/>
                <w:bCs/>
                <w:i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16" w:hRule="atLeast"/>
        </w:trPr>
        <w:tc>
          <w:tcPr>
            <w:tcW w:w="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0" w:lineRule="exact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0" w:lineRule="exact"/>
              <w:jc w:val="both"/>
              <w:textAlignment w:val="center"/>
              <w:outlineLvl w:val="9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公务员录用违纪违规行为处理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0" w:lineRule="exact"/>
              <w:jc w:val="center"/>
              <w:outlineLvl w:val="9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0" w:lineRule="exact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其他类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0" w:lineRule="exact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1011017000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0" w:lineRule="exact"/>
              <w:jc w:val="center"/>
              <w:outlineLvl w:val="9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0" w:lineRule="exact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银川市公务员局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0" w:lineRule="exact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银川市公务员局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0" w:lineRule="exact"/>
              <w:jc w:val="both"/>
              <w:textAlignment w:val="center"/>
              <w:outlineLvl w:val="9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【部门规章】《公务员录用违纪违规行为处理办法》（2021年9月18日中共中央组织部、人力资源和社会保障部修订发布）</w:t>
            </w: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第四条　公务员主管部门、招录机关和考试机构以及其他相关单位按照规定的职责权限，对违规违纪行为进行认定与处理。</w:t>
            </w:r>
          </w:p>
        </w:tc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0" w:lineRule="exact"/>
              <w:jc w:val="both"/>
              <w:textAlignment w:val="center"/>
              <w:outlineLvl w:val="9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1.监督责任：对报考者行为进行监督。</w:t>
            </w: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2.告知责任：告知报考者拟作出的处理决定以及相关事实、理由和依据，并告知报考者依法享有陈述和申辩的权利。</w:t>
            </w: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3.复核责任：复核违纪违规事实和相关证据。</w:t>
            </w: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4.认定处理责任：针对不同违纪违规行为作出认定和处理决定。</w:t>
            </w: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5.送达责任：制作公务员录用违规违纪行为处理决定书，采取直接送达、委托送达、邮寄送达或者公告等方式送达。</w:t>
            </w: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6.其他法律法规规章文件规定应履行的责任。</w:t>
            </w: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0" w:lineRule="exact"/>
              <w:jc w:val="both"/>
              <w:textAlignment w:val="center"/>
              <w:outlineLvl w:val="9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1-1.公务员录用违纪违规行为处理办法》（2021年9月18日中共中央组织部、人力资源和社会保障部修订发布）</w:t>
            </w: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第四条　公务员主管部门、招录机关和考试机构以及其他相关单位按照规定的职责权限，对违规违纪行为进行认定与处理。                                                                                                                                                                                                1-2.《宁夏回族自治区行政程序规定》第一百一十三条“行政机关及其工作人员违反本规定，有下列情形之一的，依照国家和自治区有关规定追究责任：（一）不具有行政执法主体资格实施行政执法行为的；（二）违法进行行政委托的；（三）超越或者滥用职权的；（四）不履行或者拖延履行法定职责的；（五）行政决定被撤销、被确认违法或者无效的；（六）不按照行政裁量权基准进行裁量的；（七）因行政程序违法导致行政赔偿的；（八）不进行行政协助的；（九）违反本规定的其他情形。</w:t>
            </w: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2.《宁夏回族自治区行政程序规定》第一百一十八条行政机关工作人员违反法定程序，滥用职权、玩忽职守、徇私舞弊，侵犯公民、法人、或者其他组织的合法权益，依法给予处分；构成犯罪的，依法追究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刑事责任。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0" w:lineRule="exact"/>
              <w:jc w:val="both"/>
              <w:textAlignment w:val="center"/>
              <w:outlineLvl w:val="9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                                                                                                                                                                 相关工作人员（监督人、复核人、告知人、认定处理人、送达人）          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0" w:lineRule="exact"/>
              <w:jc w:val="both"/>
              <w:textAlignment w:val="center"/>
              <w:outlineLvl w:val="9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因不履行或不正确履行行政职责，有下列情形的，公务员主管部门及相关工作人员应承担相应责任：</w:t>
            </w: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1.不依法履行或拖延履行法定职责的；</w:t>
            </w: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2.工作中滥用职权、玩忽职守、徇私舞弊的；</w:t>
            </w: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3.在工作中发生腐败行为的；</w:t>
            </w: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4.其他违反法律法规规定的行为。</w:t>
            </w:r>
          </w:p>
        </w:tc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0" w:lineRule="exact"/>
              <w:jc w:val="center"/>
              <w:outlineLvl w:val="9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/>
        </w:rPr>
      </w:pPr>
    </w:p>
    <w:sectPr>
      <w:footerReference r:id="rId3" w:type="default"/>
      <w:pgSz w:w="16783" w:h="11850" w:orient="landscape"/>
      <w:pgMar w:top="1134" w:right="850" w:bottom="1134" w:left="850" w:header="851" w:footer="992" w:gutter="0"/>
      <w:pgNumType w:fmt="numberInDash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default" w:ascii="Times New Roman" w:hAnsi="Times New Roman" w:cs="Times New Roman" w:eastAsiaTheme="minorEastAsia"/>
                              <w:sz w:val="24"/>
                              <w:szCs w:val="40"/>
                              <w:lang w:eastAsia="zh-C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40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40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40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40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40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default" w:ascii="Times New Roman" w:hAnsi="Times New Roman" w:cs="Times New Roman" w:eastAsiaTheme="minorEastAsia"/>
                        <w:sz w:val="24"/>
                        <w:szCs w:val="40"/>
                        <w:lang w:eastAsia="zh-CN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40"/>
                        <w:lang w:eastAsia="zh-C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40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40"/>
                        <w:lang w:eastAsia="zh-C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40"/>
                        <w:lang w:eastAsia="zh-CN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40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hZTcxZDM3YTU1ZGI0N2U1ZWM3NGE5Yjc0OWQwYmIifQ=="/>
  </w:docVars>
  <w:rsids>
    <w:rsidRoot w:val="0EE43988"/>
    <w:rsid w:val="029C0A74"/>
    <w:rsid w:val="0EE43988"/>
    <w:rsid w:val="11851B4A"/>
    <w:rsid w:val="125C77AB"/>
    <w:rsid w:val="3193621B"/>
    <w:rsid w:val="4A0153AF"/>
    <w:rsid w:val="65772AC8"/>
    <w:rsid w:val="70A23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984</Words>
  <Characters>1018</Characters>
  <Lines>0</Lines>
  <Paragraphs>0</Paragraphs>
  <TotalTime>0</TotalTime>
  <ScaleCrop>false</ScaleCrop>
  <LinksUpToDate>false</LinksUpToDate>
  <CharactersWithSpaces>1429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2022-08-02T09:30:00Z</dcterms:created>
  <dc:creator>Administrator</dc:creator>
  <cp:lastModifiedBy>修改</cp:lastModifiedBy>
  <dcterms:modified xsi:type="dcterms:W3CDTF">2023-08-24T08:07:48Z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8B7CDF79A6BC4CCFBB21747AF26FDB41_12</vt:lpwstr>
  </property>
</Properties>
</file>