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方正小标宋_GBK" w:hAnsi="方正小标宋_GBK" w:eastAsia="方正小标宋_GBK" w:cs="方正小标宋_GBK"/>
        </w:rPr>
      </w:pPr>
      <w:r>
        <w:rPr>
          <w:rFonts w:hint="eastAsia" w:ascii="方正小标宋_GBK" w:hAnsi="方正小标宋_GBK" w:eastAsia="方正小标宋_GBK" w:cs="方正小标宋_GBK"/>
          <w:sz w:val="44"/>
          <w:szCs w:val="44"/>
        </w:rPr>
        <w:t>银川市政府侨务办公室权责清单</w:t>
      </w:r>
    </w:p>
    <w:tbl>
      <w:tblPr>
        <w:tblStyle w:val="5"/>
        <w:tblW w:w="15088" w:type="dxa"/>
        <w:tblInd w:w="0" w:type="dxa"/>
        <w:tblLayout w:type="fixed"/>
        <w:tblCellMar>
          <w:top w:w="15" w:type="dxa"/>
          <w:left w:w="15" w:type="dxa"/>
          <w:bottom w:w="15" w:type="dxa"/>
          <w:right w:w="15" w:type="dxa"/>
        </w:tblCellMar>
      </w:tblPr>
      <w:tblGrid>
        <w:gridCol w:w="397"/>
        <w:gridCol w:w="723"/>
        <w:gridCol w:w="588"/>
        <w:gridCol w:w="666"/>
        <w:gridCol w:w="930"/>
        <w:gridCol w:w="1198"/>
        <w:gridCol w:w="907"/>
        <w:gridCol w:w="907"/>
        <w:gridCol w:w="2182"/>
        <w:gridCol w:w="1540"/>
        <w:gridCol w:w="2101"/>
        <w:gridCol w:w="831"/>
        <w:gridCol w:w="1637"/>
        <w:gridCol w:w="481"/>
      </w:tblGrid>
      <w:tr>
        <w:tblPrEx>
          <w:tblCellMar>
            <w:top w:w="15" w:type="dxa"/>
            <w:left w:w="15" w:type="dxa"/>
            <w:bottom w:w="15" w:type="dxa"/>
            <w:right w:w="15" w:type="dxa"/>
          </w:tblCellMar>
        </w:tblPrEx>
        <w:trPr>
          <w:tblHeader/>
        </w:trPr>
        <w:tc>
          <w:tcPr>
            <w:tcW w:w="397"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spacing w:line="240" w:lineRule="exact"/>
              <w:jc w:val="center"/>
              <w:textAlignment w:val="center"/>
              <w:rPr>
                <w:rFonts w:ascii="Times New Roman" w:hAnsi="Times New Roman" w:eastAsia="黑体" w:cs="Times New Roman"/>
                <w:bCs/>
                <w:color w:val="000000" w:themeColor="text1"/>
                <w:sz w:val="18"/>
                <w:szCs w:val="18"/>
                <w14:textFill>
                  <w14:solidFill>
                    <w14:schemeClr w14:val="tx1"/>
                  </w14:solidFill>
                </w14:textFill>
              </w:rPr>
            </w:pPr>
            <w:r>
              <w:rPr>
                <w:rFonts w:ascii="Times New Roman" w:hAnsi="Times New Roman" w:eastAsia="黑体" w:cs="Times New Roman"/>
                <w:bCs/>
                <w:color w:val="000000" w:themeColor="text1"/>
                <w:kern w:val="0"/>
                <w:sz w:val="18"/>
                <w:szCs w:val="18"/>
                <w:lang w:bidi="ar"/>
                <w14:textFill>
                  <w14:solidFill>
                    <w14:schemeClr w14:val="tx1"/>
                  </w14:solidFill>
                </w14:textFill>
              </w:rPr>
              <w:t xml:space="preserve">序号   </w:t>
            </w:r>
          </w:p>
        </w:tc>
        <w:tc>
          <w:tcPr>
            <w:tcW w:w="723"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spacing w:line="240" w:lineRule="exact"/>
              <w:jc w:val="center"/>
              <w:textAlignment w:val="center"/>
              <w:rPr>
                <w:rFonts w:ascii="Times New Roman" w:hAnsi="Times New Roman" w:eastAsia="黑体" w:cs="Times New Roman"/>
                <w:bCs/>
                <w:color w:val="000000" w:themeColor="text1"/>
                <w:kern w:val="0"/>
                <w:sz w:val="18"/>
                <w:szCs w:val="18"/>
                <w:lang w:bidi="ar"/>
                <w14:textFill>
                  <w14:solidFill>
                    <w14:schemeClr w14:val="tx1"/>
                  </w14:solidFill>
                </w14:textFill>
              </w:rPr>
            </w:pPr>
            <w:r>
              <w:rPr>
                <w:rFonts w:ascii="Times New Roman" w:hAnsi="Times New Roman" w:eastAsia="黑体" w:cs="Times New Roman"/>
                <w:bCs/>
                <w:color w:val="000000" w:themeColor="text1"/>
                <w:kern w:val="0"/>
                <w:sz w:val="18"/>
                <w:szCs w:val="18"/>
                <w:lang w:bidi="ar"/>
                <w14:textFill>
                  <w14:solidFill>
                    <w14:schemeClr w14:val="tx1"/>
                  </w14:solidFill>
                </w14:textFill>
              </w:rPr>
              <w:t>事项</w:t>
            </w:r>
          </w:p>
          <w:p>
            <w:pPr>
              <w:widowControl/>
              <w:spacing w:line="240" w:lineRule="exact"/>
              <w:jc w:val="center"/>
              <w:textAlignment w:val="center"/>
              <w:rPr>
                <w:rFonts w:ascii="Times New Roman" w:hAnsi="Times New Roman" w:eastAsia="黑体" w:cs="Times New Roman"/>
                <w:bCs/>
                <w:color w:val="000000" w:themeColor="text1"/>
                <w:sz w:val="18"/>
                <w:szCs w:val="18"/>
                <w14:textFill>
                  <w14:solidFill>
                    <w14:schemeClr w14:val="tx1"/>
                  </w14:solidFill>
                </w14:textFill>
              </w:rPr>
            </w:pPr>
            <w:r>
              <w:rPr>
                <w:rFonts w:ascii="Times New Roman" w:hAnsi="Times New Roman" w:eastAsia="黑体" w:cs="Times New Roman"/>
                <w:bCs/>
                <w:color w:val="000000" w:themeColor="text1"/>
                <w:kern w:val="0"/>
                <w:sz w:val="18"/>
                <w:szCs w:val="18"/>
                <w:lang w:bidi="ar"/>
                <w14:textFill>
                  <w14:solidFill>
                    <w14:schemeClr w14:val="tx1"/>
                  </w14:solidFill>
                </w14:textFill>
              </w:rPr>
              <w:t>名称</w:t>
            </w:r>
          </w:p>
        </w:tc>
        <w:tc>
          <w:tcPr>
            <w:tcW w:w="588"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spacing w:line="240" w:lineRule="exact"/>
              <w:jc w:val="center"/>
              <w:textAlignment w:val="center"/>
              <w:rPr>
                <w:rFonts w:ascii="Times New Roman" w:hAnsi="Times New Roman" w:eastAsia="黑体" w:cs="Times New Roman"/>
                <w:bCs/>
                <w:color w:val="000000" w:themeColor="text1"/>
                <w:sz w:val="18"/>
                <w:szCs w:val="18"/>
                <w14:textFill>
                  <w14:solidFill>
                    <w14:schemeClr w14:val="tx1"/>
                  </w14:solidFill>
                </w14:textFill>
              </w:rPr>
            </w:pPr>
            <w:r>
              <w:rPr>
                <w:rFonts w:ascii="Times New Roman" w:hAnsi="Times New Roman" w:eastAsia="黑体" w:cs="Times New Roman"/>
                <w:bCs/>
                <w:color w:val="000000" w:themeColor="text1"/>
                <w:kern w:val="0"/>
                <w:sz w:val="18"/>
                <w:szCs w:val="18"/>
                <w:lang w:bidi="ar"/>
                <w14:textFill>
                  <w14:solidFill>
                    <w14:schemeClr w14:val="tx1"/>
                  </w14:solidFill>
                </w14:textFill>
              </w:rPr>
              <w:t>子项名称</w:t>
            </w:r>
            <w:r>
              <w:rPr>
                <w:rFonts w:ascii="Times New Roman" w:hAnsi="Times New Roman" w:eastAsia="黑体" w:cs="Times New Roman"/>
                <w:bCs/>
                <w:color w:val="000000" w:themeColor="text1"/>
                <w:kern w:val="0"/>
                <w:sz w:val="15"/>
                <w:szCs w:val="15"/>
                <w:lang w:bidi="ar"/>
                <w14:textFill>
                  <w14:solidFill>
                    <w14:schemeClr w14:val="tx1"/>
                  </w14:solidFill>
                </w14:textFill>
              </w:rPr>
              <w:t>（无子项时无需填写）</w:t>
            </w:r>
          </w:p>
        </w:tc>
        <w:tc>
          <w:tcPr>
            <w:tcW w:w="666"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spacing w:line="240" w:lineRule="exact"/>
              <w:jc w:val="center"/>
              <w:textAlignment w:val="center"/>
              <w:rPr>
                <w:rFonts w:ascii="Times New Roman" w:hAnsi="Times New Roman" w:eastAsia="黑体" w:cs="Times New Roman"/>
                <w:bCs/>
                <w:color w:val="000000" w:themeColor="text1"/>
                <w:kern w:val="0"/>
                <w:sz w:val="18"/>
                <w:szCs w:val="18"/>
                <w:lang w:bidi="ar"/>
                <w14:textFill>
                  <w14:solidFill>
                    <w14:schemeClr w14:val="tx1"/>
                  </w14:solidFill>
                </w14:textFill>
              </w:rPr>
            </w:pPr>
            <w:r>
              <w:rPr>
                <w:rFonts w:ascii="Times New Roman" w:hAnsi="Times New Roman" w:eastAsia="黑体" w:cs="Times New Roman"/>
                <w:bCs/>
                <w:color w:val="000000" w:themeColor="text1"/>
                <w:kern w:val="0"/>
                <w:sz w:val="18"/>
                <w:szCs w:val="18"/>
                <w:lang w:bidi="ar"/>
                <w14:textFill>
                  <w14:solidFill>
                    <w14:schemeClr w14:val="tx1"/>
                  </w14:solidFill>
                </w14:textFill>
              </w:rPr>
              <w:t>权力</w:t>
            </w:r>
          </w:p>
          <w:p>
            <w:pPr>
              <w:widowControl/>
              <w:spacing w:line="240" w:lineRule="exact"/>
              <w:jc w:val="center"/>
              <w:textAlignment w:val="center"/>
              <w:rPr>
                <w:rFonts w:ascii="Times New Roman" w:hAnsi="Times New Roman" w:eastAsia="黑体" w:cs="Times New Roman"/>
                <w:bCs/>
                <w:color w:val="000000" w:themeColor="text1"/>
                <w:sz w:val="18"/>
                <w:szCs w:val="18"/>
                <w14:textFill>
                  <w14:solidFill>
                    <w14:schemeClr w14:val="tx1"/>
                  </w14:solidFill>
                </w14:textFill>
              </w:rPr>
            </w:pPr>
            <w:r>
              <w:rPr>
                <w:rFonts w:ascii="Times New Roman" w:hAnsi="Times New Roman" w:eastAsia="黑体" w:cs="Times New Roman"/>
                <w:bCs/>
                <w:color w:val="000000" w:themeColor="text1"/>
                <w:kern w:val="0"/>
                <w:sz w:val="18"/>
                <w:szCs w:val="18"/>
                <w:lang w:bidi="ar"/>
                <w14:textFill>
                  <w14:solidFill>
                    <w14:schemeClr w14:val="tx1"/>
                  </w14:solidFill>
                </w14:textFill>
              </w:rPr>
              <w:t>类型</w:t>
            </w:r>
          </w:p>
        </w:tc>
        <w:tc>
          <w:tcPr>
            <w:tcW w:w="930"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spacing w:line="240" w:lineRule="exact"/>
              <w:jc w:val="center"/>
              <w:textAlignment w:val="center"/>
              <w:rPr>
                <w:rFonts w:ascii="Times New Roman" w:hAnsi="Times New Roman" w:eastAsia="黑体" w:cs="Times New Roman"/>
                <w:bCs/>
                <w:color w:val="000000" w:themeColor="text1"/>
                <w:kern w:val="0"/>
                <w:sz w:val="18"/>
                <w:szCs w:val="18"/>
                <w:lang w:bidi="ar"/>
                <w14:textFill>
                  <w14:solidFill>
                    <w14:schemeClr w14:val="tx1"/>
                  </w14:solidFill>
                </w14:textFill>
              </w:rPr>
            </w:pPr>
            <w:r>
              <w:rPr>
                <w:rFonts w:ascii="Times New Roman" w:hAnsi="Times New Roman" w:eastAsia="黑体" w:cs="Times New Roman"/>
                <w:bCs/>
                <w:color w:val="000000" w:themeColor="text1"/>
                <w:kern w:val="0"/>
                <w:sz w:val="18"/>
                <w:szCs w:val="18"/>
                <w:lang w:bidi="ar"/>
                <w14:textFill>
                  <w14:solidFill>
                    <w14:schemeClr w14:val="tx1"/>
                  </w14:solidFill>
                </w14:textFill>
              </w:rPr>
              <w:t>地方权力</w:t>
            </w:r>
          </w:p>
          <w:p>
            <w:pPr>
              <w:widowControl/>
              <w:spacing w:line="240" w:lineRule="exact"/>
              <w:jc w:val="center"/>
              <w:textAlignment w:val="center"/>
              <w:rPr>
                <w:rFonts w:ascii="Times New Roman" w:hAnsi="Times New Roman" w:eastAsia="黑体" w:cs="Times New Roman"/>
                <w:bCs/>
                <w:color w:val="000000" w:themeColor="text1"/>
                <w:sz w:val="18"/>
                <w:szCs w:val="18"/>
                <w14:textFill>
                  <w14:solidFill>
                    <w14:schemeClr w14:val="tx1"/>
                  </w14:solidFill>
                </w14:textFill>
              </w:rPr>
            </w:pPr>
            <w:r>
              <w:rPr>
                <w:rFonts w:ascii="Times New Roman" w:hAnsi="Times New Roman" w:eastAsia="黑体" w:cs="Times New Roman"/>
                <w:bCs/>
                <w:color w:val="000000" w:themeColor="text1"/>
                <w:kern w:val="0"/>
                <w:sz w:val="18"/>
                <w:szCs w:val="18"/>
                <w:lang w:bidi="ar"/>
                <w14:textFill>
                  <w14:solidFill>
                    <w14:schemeClr w14:val="tx1"/>
                  </w14:solidFill>
                </w14:textFill>
              </w:rPr>
              <w:t>编码</w:t>
            </w:r>
          </w:p>
        </w:tc>
        <w:tc>
          <w:tcPr>
            <w:tcW w:w="1198"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spacing w:line="240" w:lineRule="exact"/>
              <w:jc w:val="center"/>
              <w:textAlignment w:val="center"/>
              <w:rPr>
                <w:rFonts w:ascii="Times New Roman" w:hAnsi="Times New Roman" w:eastAsia="黑体" w:cs="Times New Roman"/>
                <w:bCs/>
                <w:color w:val="000000" w:themeColor="text1"/>
                <w:sz w:val="18"/>
                <w:szCs w:val="18"/>
                <w14:textFill>
                  <w14:solidFill>
                    <w14:schemeClr w14:val="tx1"/>
                  </w14:solidFill>
                </w14:textFill>
              </w:rPr>
            </w:pPr>
            <w:r>
              <w:rPr>
                <w:rFonts w:ascii="Times New Roman" w:hAnsi="Times New Roman" w:eastAsia="黑体" w:cs="Times New Roman"/>
                <w:bCs/>
                <w:color w:val="000000" w:themeColor="text1"/>
                <w:kern w:val="0"/>
                <w:sz w:val="18"/>
                <w:szCs w:val="18"/>
                <w:lang w:bidi="ar"/>
                <w14:textFill>
                  <w14:solidFill>
                    <w14:schemeClr w14:val="tx1"/>
                  </w14:solidFill>
                </w14:textFill>
              </w:rPr>
              <w:t>子项地方权力编码</w:t>
            </w:r>
            <w:r>
              <w:rPr>
                <w:rFonts w:ascii="Times New Roman" w:hAnsi="Times New Roman" w:eastAsia="黑体" w:cs="Times New Roman"/>
                <w:bCs/>
                <w:color w:val="000000" w:themeColor="text1"/>
                <w:kern w:val="0"/>
                <w:sz w:val="15"/>
                <w:szCs w:val="15"/>
                <w:lang w:bidi="ar"/>
                <w14:textFill>
                  <w14:solidFill>
                    <w14:schemeClr w14:val="tx1"/>
                  </w14:solidFill>
                </w14:textFill>
              </w:rPr>
              <w:t>（无子项时无需填写）</w:t>
            </w:r>
          </w:p>
        </w:tc>
        <w:tc>
          <w:tcPr>
            <w:tcW w:w="907"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spacing w:line="240" w:lineRule="exact"/>
              <w:jc w:val="center"/>
              <w:textAlignment w:val="center"/>
              <w:rPr>
                <w:rFonts w:ascii="Times New Roman" w:hAnsi="Times New Roman" w:eastAsia="黑体" w:cs="Times New Roman"/>
                <w:bCs/>
                <w:color w:val="000000" w:themeColor="text1"/>
                <w:sz w:val="18"/>
                <w:szCs w:val="18"/>
                <w14:textFill>
                  <w14:solidFill>
                    <w14:schemeClr w14:val="tx1"/>
                  </w14:solidFill>
                </w14:textFill>
              </w:rPr>
            </w:pPr>
            <w:r>
              <w:rPr>
                <w:rFonts w:ascii="Times New Roman" w:hAnsi="Times New Roman" w:eastAsia="黑体" w:cs="Times New Roman"/>
                <w:bCs/>
                <w:color w:val="000000" w:themeColor="text1"/>
                <w:kern w:val="0"/>
                <w:sz w:val="18"/>
                <w:szCs w:val="18"/>
                <w:lang w:bidi="ar"/>
                <w14:textFill>
                  <w14:solidFill>
                    <w14:schemeClr w14:val="tx1"/>
                  </w14:solidFill>
                </w14:textFill>
              </w:rPr>
              <w:t>行使主体</w:t>
            </w:r>
            <w:r>
              <w:rPr>
                <w:rFonts w:ascii="Times New Roman" w:hAnsi="Times New Roman" w:eastAsia="黑体" w:cs="Times New Roman"/>
                <w:bCs/>
                <w:color w:val="000000" w:themeColor="text1"/>
                <w:kern w:val="0"/>
                <w:sz w:val="15"/>
                <w:szCs w:val="15"/>
                <w:lang w:bidi="ar"/>
                <w14:textFill>
                  <w14:solidFill>
                    <w14:schemeClr w14:val="tx1"/>
                  </w14:solidFill>
                </w14:textFill>
              </w:rPr>
              <w:t>（所属部门）</w:t>
            </w:r>
          </w:p>
        </w:tc>
        <w:tc>
          <w:tcPr>
            <w:tcW w:w="907"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spacing w:line="240" w:lineRule="exact"/>
              <w:jc w:val="center"/>
              <w:textAlignment w:val="center"/>
              <w:rPr>
                <w:rFonts w:ascii="Times New Roman" w:hAnsi="Times New Roman" w:eastAsia="黑体" w:cs="Times New Roman"/>
                <w:bCs/>
                <w:color w:val="000000" w:themeColor="text1"/>
                <w:sz w:val="18"/>
                <w:szCs w:val="18"/>
                <w14:textFill>
                  <w14:solidFill>
                    <w14:schemeClr w14:val="tx1"/>
                  </w14:solidFill>
                </w14:textFill>
              </w:rPr>
            </w:pPr>
            <w:r>
              <w:rPr>
                <w:rFonts w:ascii="Times New Roman" w:hAnsi="Times New Roman" w:eastAsia="黑体" w:cs="Times New Roman"/>
                <w:bCs/>
                <w:color w:val="000000" w:themeColor="text1"/>
                <w:kern w:val="0"/>
                <w:sz w:val="18"/>
                <w:szCs w:val="18"/>
                <w:lang w:bidi="ar"/>
                <w14:textFill>
                  <w14:solidFill>
                    <w14:schemeClr w14:val="tx1"/>
                  </w14:solidFill>
                </w14:textFill>
              </w:rPr>
              <w:t>承办机构</w:t>
            </w:r>
            <w:r>
              <w:rPr>
                <w:rFonts w:ascii="Times New Roman" w:hAnsi="Times New Roman" w:eastAsia="黑体" w:cs="Times New Roman"/>
                <w:bCs/>
                <w:color w:val="000000" w:themeColor="text1"/>
                <w:kern w:val="0"/>
                <w:sz w:val="15"/>
                <w:szCs w:val="15"/>
                <w:lang w:bidi="ar"/>
                <w14:textFill>
                  <w14:solidFill>
                    <w14:schemeClr w14:val="tx1"/>
                  </w14:solidFill>
                </w14:textFill>
              </w:rPr>
              <w:t>（实施主体）</w:t>
            </w:r>
          </w:p>
        </w:tc>
        <w:tc>
          <w:tcPr>
            <w:tcW w:w="2182"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spacing w:line="240" w:lineRule="exact"/>
              <w:jc w:val="center"/>
              <w:textAlignment w:val="center"/>
              <w:rPr>
                <w:rFonts w:ascii="Times New Roman" w:hAnsi="Times New Roman" w:eastAsia="黑体" w:cs="Times New Roman"/>
                <w:bCs/>
                <w:color w:val="000000" w:themeColor="text1"/>
                <w:sz w:val="18"/>
                <w:szCs w:val="18"/>
                <w14:textFill>
                  <w14:solidFill>
                    <w14:schemeClr w14:val="tx1"/>
                  </w14:solidFill>
                </w14:textFill>
              </w:rPr>
            </w:pPr>
            <w:r>
              <w:rPr>
                <w:rFonts w:ascii="Times New Roman" w:hAnsi="Times New Roman" w:eastAsia="黑体" w:cs="Times New Roman"/>
                <w:bCs/>
                <w:color w:val="000000" w:themeColor="text1"/>
                <w:kern w:val="0"/>
                <w:sz w:val="18"/>
                <w:szCs w:val="18"/>
                <w:lang w:bidi="ar"/>
                <w14:textFill>
                  <w14:solidFill>
                    <w14:schemeClr w14:val="tx1"/>
                  </w14:solidFill>
                </w14:textFill>
              </w:rPr>
              <w:t>实施依据</w:t>
            </w:r>
          </w:p>
        </w:tc>
        <w:tc>
          <w:tcPr>
            <w:tcW w:w="1540"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spacing w:line="240" w:lineRule="exact"/>
              <w:jc w:val="center"/>
              <w:textAlignment w:val="center"/>
              <w:rPr>
                <w:rFonts w:ascii="Times New Roman" w:hAnsi="Times New Roman" w:eastAsia="黑体" w:cs="Times New Roman"/>
                <w:bCs/>
                <w:color w:val="000000" w:themeColor="text1"/>
                <w:sz w:val="18"/>
                <w:szCs w:val="18"/>
                <w14:textFill>
                  <w14:solidFill>
                    <w14:schemeClr w14:val="tx1"/>
                  </w14:solidFill>
                </w14:textFill>
              </w:rPr>
            </w:pPr>
            <w:r>
              <w:rPr>
                <w:rFonts w:ascii="Times New Roman" w:hAnsi="Times New Roman" w:eastAsia="黑体" w:cs="Times New Roman"/>
                <w:bCs/>
                <w:color w:val="000000" w:themeColor="text1"/>
                <w:kern w:val="0"/>
                <w:sz w:val="18"/>
                <w:szCs w:val="18"/>
                <w:lang w:bidi="ar"/>
                <w14:textFill>
                  <w14:solidFill>
                    <w14:schemeClr w14:val="tx1"/>
                  </w14:solidFill>
                </w14:textFill>
              </w:rPr>
              <w:t>责任事项内容</w:t>
            </w:r>
          </w:p>
        </w:tc>
        <w:tc>
          <w:tcPr>
            <w:tcW w:w="2101"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spacing w:line="240" w:lineRule="exact"/>
              <w:jc w:val="center"/>
              <w:textAlignment w:val="center"/>
              <w:rPr>
                <w:rFonts w:ascii="Times New Roman" w:hAnsi="Times New Roman" w:eastAsia="黑体" w:cs="Times New Roman"/>
                <w:bCs/>
                <w:color w:val="000000" w:themeColor="text1"/>
                <w:sz w:val="18"/>
                <w:szCs w:val="18"/>
                <w14:textFill>
                  <w14:solidFill>
                    <w14:schemeClr w14:val="tx1"/>
                  </w14:solidFill>
                </w14:textFill>
              </w:rPr>
            </w:pPr>
            <w:r>
              <w:rPr>
                <w:rFonts w:ascii="Times New Roman" w:hAnsi="Times New Roman" w:eastAsia="黑体" w:cs="Times New Roman"/>
                <w:bCs/>
                <w:color w:val="000000" w:themeColor="text1"/>
                <w:kern w:val="0"/>
                <w:sz w:val="18"/>
                <w:szCs w:val="18"/>
                <w:lang w:bidi="ar"/>
                <w14:textFill>
                  <w14:solidFill>
                    <w14:schemeClr w14:val="tx1"/>
                  </w14:solidFill>
                </w14:textFill>
              </w:rPr>
              <w:t>责任事项依据</w:t>
            </w:r>
          </w:p>
        </w:tc>
        <w:tc>
          <w:tcPr>
            <w:tcW w:w="831"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spacing w:line="240" w:lineRule="exact"/>
              <w:jc w:val="center"/>
              <w:textAlignment w:val="center"/>
              <w:rPr>
                <w:rFonts w:ascii="Times New Roman" w:hAnsi="Times New Roman" w:eastAsia="黑体" w:cs="Times New Roman"/>
                <w:bCs/>
                <w:color w:val="000000" w:themeColor="text1"/>
                <w:sz w:val="18"/>
                <w:szCs w:val="18"/>
                <w14:textFill>
                  <w14:solidFill>
                    <w14:schemeClr w14:val="tx1"/>
                  </w14:solidFill>
                </w14:textFill>
              </w:rPr>
            </w:pPr>
            <w:r>
              <w:rPr>
                <w:rFonts w:ascii="Times New Roman" w:hAnsi="Times New Roman" w:eastAsia="黑体" w:cs="Times New Roman"/>
                <w:bCs/>
                <w:color w:val="000000" w:themeColor="text1"/>
                <w:kern w:val="0"/>
                <w:sz w:val="18"/>
                <w:szCs w:val="18"/>
                <w:lang w:bidi="ar"/>
                <w14:textFill>
                  <w14:solidFill>
                    <w14:schemeClr w14:val="tx1"/>
                  </w14:solidFill>
                </w14:textFill>
              </w:rPr>
              <w:t>追责对象范围</w:t>
            </w:r>
          </w:p>
        </w:tc>
        <w:tc>
          <w:tcPr>
            <w:tcW w:w="1637"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spacing w:line="240" w:lineRule="exact"/>
              <w:jc w:val="center"/>
              <w:textAlignment w:val="center"/>
              <w:rPr>
                <w:rFonts w:ascii="Times New Roman" w:hAnsi="Times New Roman" w:eastAsia="黑体" w:cs="Times New Roman"/>
                <w:bCs/>
                <w:color w:val="000000" w:themeColor="text1"/>
                <w:sz w:val="18"/>
                <w:szCs w:val="18"/>
                <w14:textFill>
                  <w14:solidFill>
                    <w14:schemeClr w14:val="tx1"/>
                  </w14:solidFill>
                </w14:textFill>
              </w:rPr>
            </w:pPr>
            <w:r>
              <w:rPr>
                <w:rFonts w:ascii="Times New Roman" w:hAnsi="Times New Roman" w:eastAsia="黑体" w:cs="Times New Roman"/>
                <w:bCs/>
                <w:color w:val="000000" w:themeColor="text1"/>
                <w:kern w:val="0"/>
                <w:sz w:val="18"/>
                <w:szCs w:val="18"/>
                <w:lang w:bidi="ar"/>
                <w14:textFill>
                  <w14:solidFill>
                    <w14:schemeClr w14:val="tx1"/>
                  </w14:solidFill>
                </w14:textFill>
              </w:rPr>
              <w:t>追责情形</w:t>
            </w:r>
          </w:p>
        </w:tc>
        <w:tc>
          <w:tcPr>
            <w:tcW w:w="481"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spacing w:line="240" w:lineRule="exact"/>
              <w:jc w:val="center"/>
              <w:textAlignment w:val="center"/>
              <w:rPr>
                <w:rFonts w:ascii="Times New Roman" w:hAnsi="Times New Roman" w:eastAsia="黑体" w:cs="Times New Roman"/>
                <w:bCs/>
                <w:color w:val="000000" w:themeColor="text1"/>
                <w:kern w:val="0"/>
                <w:sz w:val="18"/>
                <w:szCs w:val="18"/>
                <w:lang w:bidi="ar"/>
                <w14:textFill>
                  <w14:solidFill>
                    <w14:schemeClr w14:val="tx1"/>
                  </w14:solidFill>
                </w14:textFill>
              </w:rPr>
            </w:pPr>
            <w:r>
              <w:rPr>
                <w:rFonts w:ascii="Times New Roman" w:hAnsi="Times New Roman" w:eastAsia="黑体" w:cs="Times New Roman"/>
                <w:bCs/>
                <w:color w:val="000000" w:themeColor="text1"/>
                <w:kern w:val="0"/>
                <w:sz w:val="18"/>
                <w:szCs w:val="18"/>
                <w:lang w:bidi="ar"/>
                <w14:textFill>
                  <w14:solidFill>
                    <w14:schemeClr w14:val="tx1"/>
                  </w14:solidFill>
                </w14:textFill>
              </w:rPr>
              <w:t>备注</w:t>
            </w:r>
          </w:p>
        </w:tc>
      </w:tr>
      <w:tr>
        <w:tblPrEx>
          <w:tblCellMar>
            <w:top w:w="15" w:type="dxa"/>
            <w:left w:w="15" w:type="dxa"/>
            <w:bottom w:w="15" w:type="dxa"/>
            <w:right w:w="15" w:type="dxa"/>
          </w:tblCellMar>
        </w:tblPrEx>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hint="eastAsia" w:ascii="仿宋_GB2312" w:hAnsi="仿宋_GB2312" w:eastAsia="仿宋_GB2312" w:cs="仿宋_GB2312"/>
                <w:color w:val="000000" w:themeColor="text1"/>
                <w:sz w:val="18"/>
                <w:szCs w:val="18"/>
                <w14:textFill>
                  <w14:solidFill>
                    <w14:schemeClr w14:val="tx1"/>
                  </w14:solidFill>
                </w14:textFill>
              </w:rPr>
            </w:pPr>
            <w:r>
              <w:rPr>
                <w:rFonts w:hint="eastAsia" w:ascii="仿宋_GB2312" w:hAnsi="仿宋_GB2312" w:eastAsia="仿宋_GB2312" w:cs="仿宋_GB2312"/>
                <w:color w:val="000000" w:themeColor="text1"/>
                <w:kern w:val="0"/>
                <w:sz w:val="18"/>
                <w:szCs w:val="18"/>
                <w:lang w:bidi="ar"/>
                <w14:textFill>
                  <w14:solidFill>
                    <w14:schemeClr w14:val="tx1"/>
                  </w14:solidFill>
                </w14:textFill>
              </w:rPr>
              <w:t>1</w:t>
            </w:r>
          </w:p>
        </w:tc>
        <w:tc>
          <w:tcPr>
            <w:tcW w:w="72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textAlignment w:val="center"/>
              <w:rPr>
                <w:rFonts w:hint="eastAsia" w:ascii="仿宋_GB2312" w:hAnsi="仿宋_GB2312" w:eastAsia="仿宋_GB2312" w:cs="仿宋_GB2312"/>
                <w:color w:val="000000" w:themeColor="text1"/>
                <w:sz w:val="18"/>
                <w:szCs w:val="18"/>
                <w14:textFill>
                  <w14:solidFill>
                    <w14:schemeClr w14:val="tx1"/>
                  </w14:solidFill>
                </w14:textFill>
              </w:rPr>
            </w:pPr>
            <w:r>
              <w:rPr>
                <w:rFonts w:hint="eastAsia" w:ascii="仿宋_GB2312" w:hAnsi="仿宋_GB2312" w:eastAsia="仿宋_GB2312" w:cs="仿宋_GB2312"/>
                <w:color w:val="000000" w:themeColor="text1"/>
                <w:kern w:val="0"/>
                <w:sz w:val="18"/>
                <w:szCs w:val="18"/>
                <w:lang w:bidi="ar"/>
                <w14:textFill>
                  <w14:solidFill>
                    <w14:schemeClr w14:val="tx1"/>
                  </w14:solidFill>
                </w14:textFill>
              </w:rPr>
              <w:t>华侨、归侨、侨眷身份确认</w:t>
            </w:r>
          </w:p>
        </w:tc>
        <w:tc>
          <w:tcPr>
            <w:tcW w:w="5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rPr>
                <w:rFonts w:hint="eastAsia" w:ascii="仿宋_GB2312" w:hAnsi="仿宋_GB2312" w:eastAsia="仿宋_GB2312" w:cs="仿宋_GB2312"/>
                <w:color w:val="000000" w:themeColor="text1"/>
                <w:sz w:val="18"/>
                <w:szCs w:val="18"/>
                <w14:textFill>
                  <w14:solidFill>
                    <w14:schemeClr w14:val="tx1"/>
                  </w14:solidFill>
                </w14:textFill>
              </w:rPr>
            </w:pP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hint="eastAsia" w:ascii="仿宋_GB2312" w:hAnsi="仿宋_GB2312" w:eastAsia="仿宋_GB2312" w:cs="仿宋_GB2312"/>
                <w:color w:val="000000" w:themeColor="text1"/>
                <w:kern w:val="0"/>
                <w:sz w:val="18"/>
                <w:szCs w:val="18"/>
                <w:lang w:bidi="ar"/>
                <w14:textFill>
                  <w14:solidFill>
                    <w14:schemeClr w14:val="tx1"/>
                  </w14:solidFill>
                </w14:textFill>
              </w:rPr>
            </w:pPr>
            <w:r>
              <w:rPr>
                <w:rFonts w:hint="eastAsia" w:ascii="仿宋_GB2312" w:hAnsi="仿宋_GB2312" w:eastAsia="仿宋_GB2312" w:cs="仿宋_GB2312"/>
                <w:color w:val="000000" w:themeColor="text1"/>
                <w:kern w:val="0"/>
                <w:sz w:val="18"/>
                <w:szCs w:val="18"/>
                <w:lang w:bidi="ar"/>
                <w14:textFill>
                  <w14:solidFill>
                    <w14:schemeClr w14:val="tx1"/>
                  </w14:solidFill>
                </w14:textFill>
              </w:rPr>
              <w:t>行政</w:t>
            </w:r>
          </w:p>
          <w:p>
            <w:pPr>
              <w:widowControl/>
              <w:spacing w:line="240" w:lineRule="exact"/>
              <w:jc w:val="center"/>
              <w:textAlignment w:val="center"/>
              <w:rPr>
                <w:rFonts w:hint="eastAsia" w:ascii="仿宋_GB2312" w:hAnsi="仿宋_GB2312" w:eastAsia="仿宋_GB2312" w:cs="仿宋_GB2312"/>
                <w:color w:val="000000" w:themeColor="text1"/>
                <w:sz w:val="18"/>
                <w:szCs w:val="18"/>
                <w14:textFill>
                  <w14:solidFill>
                    <w14:schemeClr w14:val="tx1"/>
                  </w14:solidFill>
                </w14:textFill>
              </w:rPr>
            </w:pPr>
            <w:r>
              <w:rPr>
                <w:rFonts w:hint="eastAsia" w:ascii="仿宋_GB2312" w:hAnsi="仿宋_GB2312" w:eastAsia="仿宋_GB2312" w:cs="仿宋_GB2312"/>
                <w:color w:val="000000" w:themeColor="text1"/>
                <w:kern w:val="0"/>
                <w:sz w:val="18"/>
                <w:szCs w:val="18"/>
                <w:lang w:bidi="ar"/>
                <w14:textFill>
                  <w14:solidFill>
                    <w14:schemeClr w14:val="tx1"/>
                  </w14:solidFill>
                </w14:textFill>
              </w:rPr>
              <w:t>确认</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hint="eastAsia" w:ascii="仿宋_GB2312" w:hAnsi="仿宋_GB2312" w:eastAsia="仿宋_GB2312" w:cs="仿宋_GB2312"/>
                <w:color w:val="000000" w:themeColor="text1"/>
                <w:sz w:val="18"/>
                <w:szCs w:val="18"/>
                <w14:textFill>
                  <w14:solidFill>
                    <w14:schemeClr w14:val="tx1"/>
                  </w14:solidFill>
                </w14:textFill>
              </w:rPr>
            </w:pPr>
            <w:r>
              <w:rPr>
                <w:rFonts w:hint="eastAsia" w:ascii="仿宋_GB2312" w:hAnsi="仿宋_GB2312" w:eastAsia="仿宋_GB2312" w:cs="仿宋_GB2312"/>
                <w:color w:val="000000" w:themeColor="text1"/>
                <w:kern w:val="0"/>
                <w:sz w:val="18"/>
                <w:szCs w:val="18"/>
                <w:lang w:bidi="ar"/>
                <w14:textFill>
                  <w14:solidFill>
                    <w14:schemeClr w14:val="tx1"/>
                  </w14:solidFill>
                </w14:textFill>
              </w:rPr>
              <w:t>0723001000</w:t>
            </w:r>
          </w:p>
        </w:tc>
        <w:tc>
          <w:tcPr>
            <w:tcW w:w="119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rPr>
                <w:rFonts w:hint="eastAsia" w:ascii="仿宋_GB2312" w:hAnsi="仿宋_GB2312" w:eastAsia="仿宋_GB2312" w:cs="仿宋_GB2312"/>
                <w:color w:val="000000" w:themeColor="text1"/>
                <w:sz w:val="18"/>
                <w:szCs w:val="18"/>
                <w14:textFill>
                  <w14:solidFill>
                    <w14:schemeClr w14:val="tx1"/>
                  </w14:solidFill>
                </w14:textFill>
              </w:rPr>
            </w:pPr>
          </w:p>
        </w:tc>
        <w:tc>
          <w:tcPr>
            <w:tcW w:w="90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hint="eastAsia" w:ascii="仿宋_GB2312" w:hAnsi="仿宋_GB2312" w:eastAsia="仿宋_GB2312" w:cs="仿宋_GB2312"/>
                <w:color w:val="000000" w:themeColor="text1"/>
                <w:sz w:val="18"/>
                <w:szCs w:val="18"/>
                <w14:textFill>
                  <w14:solidFill>
                    <w14:schemeClr w14:val="tx1"/>
                  </w14:solidFill>
                </w14:textFill>
              </w:rPr>
            </w:pPr>
            <w:r>
              <w:rPr>
                <w:rFonts w:hint="eastAsia" w:ascii="仿宋_GB2312" w:hAnsi="仿宋_GB2312" w:eastAsia="仿宋_GB2312" w:cs="仿宋_GB2312"/>
                <w:color w:val="000000" w:themeColor="text1"/>
                <w:kern w:val="0"/>
                <w:sz w:val="18"/>
                <w:szCs w:val="18"/>
                <w:lang w:bidi="ar"/>
                <w14:textFill>
                  <w14:solidFill>
                    <w14:schemeClr w14:val="tx1"/>
                  </w14:solidFill>
                </w14:textFill>
              </w:rPr>
              <w:t>银川市政府侨务办公室</w:t>
            </w:r>
          </w:p>
        </w:tc>
        <w:tc>
          <w:tcPr>
            <w:tcW w:w="90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hint="eastAsia" w:ascii="仿宋_GB2312" w:hAnsi="仿宋_GB2312" w:eastAsia="仿宋_GB2312" w:cs="仿宋_GB2312"/>
                <w:color w:val="000000" w:themeColor="text1"/>
                <w:sz w:val="18"/>
                <w:szCs w:val="18"/>
                <w14:textFill>
                  <w14:solidFill>
                    <w14:schemeClr w14:val="tx1"/>
                  </w14:solidFill>
                </w14:textFill>
              </w:rPr>
            </w:pPr>
            <w:r>
              <w:rPr>
                <w:rFonts w:hint="eastAsia" w:ascii="仿宋_GB2312" w:hAnsi="仿宋_GB2312" w:eastAsia="仿宋_GB2312" w:cs="仿宋_GB2312"/>
                <w:color w:val="000000" w:themeColor="text1"/>
                <w:kern w:val="0"/>
                <w:sz w:val="18"/>
                <w:szCs w:val="18"/>
                <w:lang w:bidi="ar"/>
                <w14:textFill>
                  <w14:solidFill>
                    <w14:schemeClr w14:val="tx1"/>
                  </w14:solidFill>
                </w14:textFill>
              </w:rPr>
              <w:t>银川市政府侨务办公室</w:t>
            </w:r>
          </w:p>
        </w:tc>
        <w:tc>
          <w:tcPr>
            <w:tcW w:w="218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textAlignment w:val="center"/>
              <w:rPr>
                <w:rFonts w:hint="eastAsia" w:ascii="仿宋_GB2312" w:hAnsi="仿宋_GB2312" w:eastAsia="仿宋_GB2312" w:cs="仿宋_GB2312"/>
                <w:color w:val="000000" w:themeColor="text1"/>
                <w:sz w:val="18"/>
                <w:szCs w:val="18"/>
                <w14:textFill>
                  <w14:solidFill>
                    <w14:schemeClr w14:val="tx1"/>
                  </w14:solidFill>
                </w14:textFill>
              </w:rPr>
            </w:pPr>
            <w:r>
              <w:rPr>
                <w:rFonts w:hint="eastAsia" w:ascii="仿宋_GB2312" w:hAnsi="仿宋_GB2312" w:eastAsia="仿宋_GB2312" w:cs="仿宋_GB2312"/>
                <w:color w:val="000000" w:themeColor="text1"/>
                <w:kern w:val="0"/>
                <w:sz w:val="18"/>
                <w:szCs w:val="18"/>
                <w:lang w:bidi="ar"/>
                <w14:textFill>
                  <w14:solidFill>
                    <w14:schemeClr w14:val="tx1"/>
                  </w14:solidFill>
                </w14:textFill>
              </w:rPr>
              <w:t>【法律】《中华人民共和国归侨侨眷权益保护法》（2009年修正）</w:t>
            </w:r>
            <w:r>
              <w:rPr>
                <w:rFonts w:hint="eastAsia" w:ascii="仿宋_GB2312" w:hAnsi="仿宋_GB2312" w:eastAsia="仿宋_GB2312" w:cs="仿宋_GB2312"/>
                <w:color w:val="000000" w:themeColor="text1"/>
                <w:kern w:val="0"/>
                <w:sz w:val="18"/>
                <w:szCs w:val="18"/>
                <w:lang w:bidi="ar"/>
                <w14:textFill>
                  <w14:solidFill>
                    <w14:schemeClr w14:val="tx1"/>
                  </w14:solidFill>
                </w14:textFill>
              </w:rPr>
              <w:br w:type="textWrapping"/>
            </w:r>
            <w:r>
              <w:rPr>
                <w:rFonts w:hint="eastAsia" w:ascii="仿宋_GB2312" w:hAnsi="仿宋_GB2312" w:eastAsia="仿宋_GB2312" w:cs="仿宋_GB2312"/>
                <w:color w:val="000000" w:themeColor="text1"/>
                <w:kern w:val="0"/>
                <w:sz w:val="18"/>
                <w:szCs w:val="18"/>
                <w:lang w:bidi="ar"/>
                <w14:textFill>
                  <w14:solidFill>
                    <w14:schemeClr w14:val="tx1"/>
                  </w14:solidFill>
                </w14:textFill>
              </w:rPr>
              <w:t>第二条　归侨是指回国定居的华侨。华侨</w:t>
            </w:r>
            <w:bookmarkStart w:id="0" w:name="_GoBack"/>
            <w:bookmarkEnd w:id="0"/>
            <w:r>
              <w:rPr>
                <w:rFonts w:hint="eastAsia" w:ascii="仿宋_GB2312" w:hAnsi="仿宋_GB2312" w:eastAsia="仿宋_GB2312" w:cs="仿宋_GB2312"/>
                <w:color w:val="000000" w:themeColor="text1"/>
                <w:kern w:val="0"/>
                <w:sz w:val="18"/>
                <w:szCs w:val="18"/>
                <w:lang w:bidi="ar"/>
                <w14:textFill>
                  <w14:solidFill>
                    <w14:schemeClr w14:val="tx1"/>
                  </w14:solidFill>
                </w14:textFill>
              </w:rPr>
              <w:t>是指定居在国外的中国公民。侨眷是指华侨、归侨在国内的眷属。</w:t>
            </w:r>
            <w:r>
              <w:rPr>
                <w:rFonts w:hint="eastAsia" w:ascii="仿宋_GB2312" w:hAnsi="仿宋_GB2312" w:eastAsia="仿宋_GB2312" w:cs="仿宋_GB2312"/>
                <w:color w:val="000000" w:themeColor="text1"/>
                <w:kern w:val="0"/>
                <w:sz w:val="18"/>
                <w:szCs w:val="18"/>
                <w:lang w:bidi="ar"/>
                <w14:textFill>
                  <w14:solidFill>
                    <w14:schemeClr w14:val="tx1"/>
                  </w14:solidFill>
                </w14:textFill>
              </w:rPr>
              <w:br w:type="textWrapping"/>
            </w:r>
            <w:r>
              <w:rPr>
                <w:rFonts w:hint="eastAsia" w:ascii="仿宋_GB2312" w:hAnsi="仿宋_GB2312" w:eastAsia="仿宋_GB2312" w:cs="仿宋_GB2312"/>
                <w:color w:val="000000" w:themeColor="text1"/>
                <w:kern w:val="0"/>
                <w:sz w:val="18"/>
                <w:szCs w:val="18"/>
                <w:lang w:bidi="ar"/>
                <w14:textFill>
                  <w14:solidFill>
                    <w14:schemeClr w14:val="tx1"/>
                  </w14:solidFill>
                </w14:textFill>
              </w:rPr>
              <w:t>本法所称侨眷包括：华侨、归侨的配偶，父母、子女及其配偶，兄弟姐妹，祖父母、外祖父母，孙子女，外孙子女，以及同华侨、归侨有长期抚养关系的其他亲属。</w:t>
            </w:r>
            <w:r>
              <w:rPr>
                <w:rFonts w:hint="eastAsia" w:ascii="仿宋_GB2312" w:hAnsi="仿宋_GB2312" w:eastAsia="仿宋_GB2312" w:cs="仿宋_GB2312"/>
                <w:color w:val="000000" w:themeColor="text1"/>
                <w:kern w:val="0"/>
                <w:sz w:val="18"/>
                <w:szCs w:val="18"/>
                <w:lang w:bidi="ar"/>
                <w14:textFill>
                  <w14:solidFill>
                    <w14:schemeClr w14:val="tx1"/>
                  </w14:solidFill>
                </w14:textFill>
              </w:rPr>
              <w:br w:type="textWrapping"/>
            </w:r>
            <w:r>
              <w:rPr>
                <w:rFonts w:hint="eastAsia" w:ascii="仿宋_GB2312" w:hAnsi="仿宋_GB2312" w:eastAsia="仿宋_GB2312" w:cs="仿宋_GB2312"/>
                <w:color w:val="000000" w:themeColor="text1"/>
                <w:kern w:val="0"/>
                <w:sz w:val="18"/>
                <w:szCs w:val="18"/>
                <w:lang w:bidi="ar"/>
                <w14:textFill>
                  <w14:solidFill>
                    <w14:schemeClr w14:val="tx1"/>
                  </w14:solidFill>
                </w14:textFill>
              </w:rPr>
              <w:t>【行政法规】《中华人民共和国归侨侨眷权益保护法实施办法》（2004年国务院令第410号）</w:t>
            </w:r>
            <w:r>
              <w:rPr>
                <w:rFonts w:hint="eastAsia" w:ascii="仿宋_GB2312" w:hAnsi="仿宋_GB2312" w:eastAsia="仿宋_GB2312" w:cs="仿宋_GB2312"/>
                <w:color w:val="000000" w:themeColor="text1"/>
                <w:kern w:val="0"/>
                <w:sz w:val="18"/>
                <w:szCs w:val="18"/>
                <w:lang w:bidi="ar"/>
                <w14:textFill>
                  <w14:solidFill>
                    <w14:schemeClr w14:val="tx1"/>
                  </w14:solidFill>
                </w14:textFill>
              </w:rPr>
              <w:br w:type="textWrapping"/>
            </w:r>
            <w:r>
              <w:rPr>
                <w:rFonts w:hint="eastAsia" w:ascii="仿宋_GB2312" w:hAnsi="仿宋_GB2312" w:eastAsia="仿宋_GB2312" w:cs="仿宋_GB2312"/>
                <w:color w:val="000000" w:themeColor="text1"/>
                <w:kern w:val="0"/>
                <w:sz w:val="18"/>
                <w:szCs w:val="18"/>
                <w:lang w:bidi="ar"/>
                <w14:textFill>
                  <w14:solidFill>
                    <w14:schemeClr w14:val="tx1"/>
                  </w14:solidFill>
                </w14:textFill>
              </w:rPr>
              <w:t>第二条　归侨、侨眷的身份，由其常住户口所在地的县级以上地方人民政府负责侨务工作的机构根据本人申请审核认定。</w:t>
            </w:r>
            <w:r>
              <w:rPr>
                <w:rFonts w:hint="eastAsia" w:ascii="仿宋_GB2312" w:hAnsi="仿宋_GB2312" w:eastAsia="仿宋_GB2312" w:cs="仿宋_GB2312"/>
                <w:color w:val="000000" w:themeColor="text1"/>
                <w:kern w:val="0"/>
                <w:sz w:val="18"/>
                <w:szCs w:val="18"/>
                <w:lang w:bidi="ar"/>
                <w14:textFill>
                  <w14:solidFill>
                    <w14:schemeClr w14:val="tx1"/>
                  </w14:solidFill>
                </w14:textFill>
              </w:rPr>
              <w:br w:type="textWrapping"/>
            </w:r>
            <w:r>
              <w:rPr>
                <w:rFonts w:hint="eastAsia" w:ascii="仿宋_GB2312" w:hAnsi="仿宋_GB2312" w:eastAsia="仿宋_GB2312" w:cs="仿宋_GB2312"/>
                <w:color w:val="000000" w:themeColor="text1"/>
                <w:kern w:val="0"/>
                <w:sz w:val="18"/>
                <w:szCs w:val="18"/>
                <w:lang w:bidi="ar"/>
                <w14:textFill>
                  <w14:solidFill>
                    <w14:schemeClr w14:val="tx1"/>
                  </w14:solidFill>
                </w14:textFill>
              </w:rPr>
              <w:t>与华侨、归侨有长期抚养关系的亲属申请认定侨眷身份的，应当提供由公证机构出具的抚养证明。</w:t>
            </w:r>
            <w:r>
              <w:rPr>
                <w:rFonts w:hint="eastAsia" w:ascii="仿宋_GB2312" w:hAnsi="仿宋_GB2312" w:eastAsia="仿宋_GB2312" w:cs="仿宋_GB2312"/>
                <w:color w:val="000000" w:themeColor="text1"/>
                <w:kern w:val="0"/>
                <w:sz w:val="18"/>
                <w:szCs w:val="18"/>
                <w:lang w:bidi="ar"/>
                <w14:textFill>
                  <w14:solidFill>
                    <w14:schemeClr w14:val="tx1"/>
                  </w14:solidFill>
                </w14:textFill>
              </w:rPr>
              <w:br w:type="textWrapping"/>
            </w:r>
            <w:r>
              <w:rPr>
                <w:rFonts w:hint="eastAsia" w:ascii="仿宋_GB2312" w:hAnsi="仿宋_GB2312" w:eastAsia="仿宋_GB2312" w:cs="仿宋_GB2312"/>
                <w:color w:val="000000" w:themeColor="text1"/>
                <w:kern w:val="0"/>
                <w:sz w:val="18"/>
                <w:szCs w:val="18"/>
                <w:lang w:bidi="ar"/>
                <w14:textFill>
                  <w14:solidFill>
                    <w14:schemeClr w14:val="tx1"/>
                  </w14:solidFill>
                </w14:textFill>
              </w:rPr>
              <w:t>【地方性法规】《宁夏回族自治区实施〈中华人民共和国归侨侨眷权益保护法〉办法》（2011年修正）</w:t>
            </w:r>
            <w:r>
              <w:rPr>
                <w:rFonts w:hint="eastAsia" w:ascii="仿宋_GB2312" w:hAnsi="仿宋_GB2312" w:eastAsia="仿宋_GB2312" w:cs="仿宋_GB2312"/>
                <w:color w:val="000000" w:themeColor="text1"/>
                <w:kern w:val="0"/>
                <w:sz w:val="18"/>
                <w:szCs w:val="18"/>
                <w:lang w:bidi="ar"/>
                <w14:textFill>
                  <w14:solidFill>
                    <w14:schemeClr w14:val="tx1"/>
                  </w14:solidFill>
                </w14:textFill>
              </w:rPr>
              <w:br w:type="textWrapping"/>
            </w:r>
            <w:r>
              <w:rPr>
                <w:rFonts w:hint="eastAsia" w:ascii="仿宋_GB2312" w:hAnsi="仿宋_GB2312" w:eastAsia="仿宋_GB2312" w:cs="仿宋_GB2312"/>
                <w:color w:val="000000" w:themeColor="text1"/>
                <w:kern w:val="0"/>
                <w:sz w:val="18"/>
                <w:szCs w:val="18"/>
                <w:lang w:bidi="ar"/>
                <w14:textFill>
                  <w14:solidFill>
                    <w14:schemeClr w14:val="tx1"/>
                  </w14:solidFill>
                </w14:textFill>
              </w:rPr>
              <w:t>第三条　归侨、侨眷身份需要确认的，由申请人持所在单位、乡镇人民政府、街道办事处或者户籍所在地公安机关根据其人事档案、本人提供有效证件出具的亲属关系证明，由县级以上地方人民政府负责侨务工作部门确认。同华侨、归侨有连续五年以上抚养关系的其他亲属，且申请侨眷身份时仍保持抚养关系的，其侨眷身份由县级以上人民政府侨务工作部门依据公证机关出具的抚养公证书审核确认。</w:t>
            </w:r>
          </w:p>
        </w:tc>
        <w:tc>
          <w:tcPr>
            <w:tcW w:w="15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textAlignment w:val="center"/>
              <w:rPr>
                <w:rFonts w:hint="eastAsia" w:ascii="仿宋_GB2312" w:hAnsi="仿宋_GB2312" w:eastAsia="仿宋_GB2312" w:cs="仿宋_GB2312"/>
                <w:color w:val="000000" w:themeColor="text1"/>
                <w:sz w:val="18"/>
                <w:szCs w:val="18"/>
                <w14:textFill>
                  <w14:solidFill>
                    <w14:schemeClr w14:val="tx1"/>
                  </w14:solidFill>
                </w14:textFill>
              </w:rPr>
            </w:pPr>
            <w:r>
              <w:rPr>
                <w:rFonts w:hint="eastAsia" w:ascii="仿宋_GB2312" w:hAnsi="仿宋_GB2312" w:eastAsia="仿宋_GB2312" w:cs="仿宋_GB2312"/>
                <w:color w:val="000000" w:themeColor="text1"/>
                <w:kern w:val="0"/>
                <w:sz w:val="18"/>
                <w:szCs w:val="18"/>
                <w:lang w:bidi="ar"/>
                <w14:textFill>
                  <w14:solidFill>
                    <w14:schemeClr w14:val="tx1"/>
                  </w14:solidFill>
                </w14:textFill>
              </w:rPr>
              <w:t>审查责任：归侨、侨眷的身份，由其常住户口所在地的县级以上地方人民政府负责侨务工作的机构根据本人申请审核认定。与华侨、归侨有长期扶养关系的亲属申请认定侨眷身份的，应当提供由公证机构出具的扶养证明。归侨、侨眷身份需要确认的，由申请人持所在单位、乡镇人民政府、街道办事处或者户籍所在地公安机关根据其人事档案、本人提供的有效证件出具的亲属关系证明，由县级以上人民政府侨务工作部门确认。同华侨、归侨有连续五年以上扶养关系的其他亲属，且申请侨眷身份时仍保持扶养关系的，其侨眷身份由县级以上人民政府侨务工作部门依据公证机关出具的扶养公证书审核确认。</w:t>
            </w:r>
          </w:p>
        </w:tc>
        <w:tc>
          <w:tcPr>
            <w:tcW w:w="210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textAlignment w:val="center"/>
              <w:rPr>
                <w:rFonts w:hint="eastAsia" w:ascii="仿宋_GB2312" w:hAnsi="仿宋_GB2312" w:eastAsia="仿宋_GB2312" w:cs="仿宋_GB2312"/>
                <w:color w:val="000000" w:themeColor="text1"/>
                <w:sz w:val="18"/>
                <w:szCs w:val="18"/>
                <w14:textFill>
                  <w14:solidFill>
                    <w14:schemeClr w14:val="tx1"/>
                  </w14:solidFill>
                </w14:textFill>
              </w:rPr>
            </w:pPr>
            <w:r>
              <w:rPr>
                <w:rFonts w:hint="eastAsia" w:ascii="仿宋_GB2312" w:hAnsi="仿宋_GB2312" w:eastAsia="仿宋_GB2312" w:cs="仿宋_GB2312"/>
                <w:color w:val="000000" w:themeColor="text1"/>
                <w:kern w:val="0"/>
                <w:sz w:val="18"/>
                <w:szCs w:val="18"/>
                <w:lang w:bidi="ar"/>
                <w14:textFill>
                  <w14:solidFill>
                    <w14:schemeClr w14:val="tx1"/>
                  </w14:solidFill>
                </w14:textFill>
              </w:rPr>
              <w:t>1-1.《中华人民共和国归侨侨眷权益保护法》（2009年修正）第二条 归侨是指回国定居的华侨。华侨是指定居在国外的中国公民。侨眷是指华侨、归侨在国内的眷属。本法所称侨眷包括：华侨、归侨的配偶，父母、子女及其配偶，兄弟姐妹，祖父母、外祖父母，孙子女，外孙子女，以及同华侨、归侨有长期抚养关系的其他亲属。</w:t>
            </w:r>
            <w:r>
              <w:rPr>
                <w:rFonts w:hint="eastAsia" w:ascii="仿宋_GB2312" w:hAnsi="仿宋_GB2312" w:eastAsia="仿宋_GB2312" w:cs="仿宋_GB2312"/>
                <w:color w:val="000000" w:themeColor="text1"/>
                <w:kern w:val="0"/>
                <w:sz w:val="18"/>
                <w:szCs w:val="18"/>
                <w:lang w:bidi="ar"/>
                <w14:textFill>
                  <w14:solidFill>
                    <w14:schemeClr w14:val="tx1"/>
                  </w14:solidFill>
                </w14:textFill>
              </w:rPr>
              <w:br w:type="textWrapping"/>
            </w:r>
            <w:r>
              <w:rPr>
                <w:rFonts w:hint="eastAsia" w:ascii="仿宋_GB2312" w:hAnsi="仿宋_GB2312" w:eastAsia="仿宋_GB2312" w:cs="仿宋_GB2312"/>
                <w:color w:val="000000" w:themeColor="text1"/>
                <w:kern w:val="0"/>
                <w:sz w:val="18"/>
                <w:szCs w:val="18"/>
                <w:lang w:bidi="ar"/>
                <w14:textFill>
                  <w14:solidFill>
                    <w14:schemeClr w14:val="tx1"/>
                  </w14:solidFill>
                </w14:textFill>
              </w:rPr>
              <w:t>1-2.《中华人民共和国归侨侨眷权益保护法实施办法》（2004年国务院令第410号）第二条 归侨、侨眷的身份，由其常住户口所在地的县级以上地方人民政府负责侨务工作的机构根据本人申请审核认定。与华侨、归侨有长期抚养关系的亲属申请认定侨眷身份的，应当提供由公证机构出具的抚养证明。</w:t>
            </w:r>
            <w:r>
              <w:rPr>
                <w:rFonts w:hint="eastAsia" w:ascii="仿宋_GB2312" w:hAnsi="仿宋_GB2312" w:eastAsia="仿宋_GB2312" w:cs="仿宋_GB2312"/>
                <w:color w:val="000000" w:themeColor="text1"/>
                <w:kern w:val="0"/>
                <w:sz w:val="18"/>
                <w:szCs w:val="18"/>
                <w:lang w:bidi="ar"/>
                <w14:textFill>
                  <w14:solidFill>
                    <w14:schemeClr w14:val="tx1"/>
                  </w14:solidFill>
                </w14:textFill>
              </w:rPr>
              <w:br w:type="textWrapping"/>
            </w:r>
            <w:r>
              <w:rPr>
                <w:rFonts w:hint="eastAsia" w:ascii="仿宋_GB2312" w:hAnsi="仿宋_GB2312" w:eastAsia="仿宋_GB2312" w:cs="仿宋_GB2312"/>
                <w:color w:val="000000" w:themeColor="text1"/>
                <w:kern w:val="0"/>
                <w:sz w:val="18"/>
                <w:szCs w:val="18"/>
                <w:lang w:bidi="ar"/>
                <w14:textFill>
                  <w14:solidFill>
                    <w14:schemeClr w14:val="tx1"/>
                  </w14:solidFill>
                </w14:textFill>
              </w:rPr>
              <w:t>1-3.《宁夏回族自治区实施〈中华人民共和国归侨侨眷权益保护法〉办法》（2011年修正）</w:t>
            </w:r>
            <w:r>
              <w:rPr>
                <w:rFonts w:hint="eastAsia" w:ascii="仿宋_GB2312" w:hAnsi="仿宋_GB2312" w:eastAsia="仿宋_GB2312" w:cs="仿宋_GB2312"/>
                <w:color w:val="000000" w:themeColor="text1"/>
                <w:kern w:val="0"/>
                <w:sz w:val="18"/>
                <w:szCs w:val="18"/>
                <w:lang w:bidi="ar"/>
                <w14:textFill>
                  <w14:solidFill>
                    <w14:schemeClr w14:val="tx1"/>
                  </w14:solidFill>
                </w14:textFill>
              </w:rPr>
              <w:br w:type="textWrapping"/>
            </w:r>
            <w:r>
              <w:rPr>
                <w:rFonts w:hint="eastAsia" w:ascii="仿宋_GB2312" w:hAnsi="仿宋_GB2312" w:eastAsia="仿宋_GB2312" w:cs="仿宋_GB2312"/>
                <w:color w:val="000000" w:themeColor="text1"/>
                <w:kern w:val="0"/>
                <w:sz w:val="18"/>
                <w:szCs w:val="18"/>
                <w:lang w:bidi="ar"/>
                <w14:textFill>
                  <w14:solidFill>
                    <w14:schemeClr w14:val="tx1"/>
                  </w14:solidFill>
                </w14:textFill>
              </w:rPr>
              <w:t>第三条 归侨、侨眷身份需要确认的，由申请人持所在单位、乡镇人民政府、街道办事处或者户籍所在地公安机关根据其人事档案、本人提供有效证件出具的亲属关系证明，由县级以上地方人民政府负责侨务工作部门确认。同华侨、归侨有连续五年以上抚养关系的其他亲属，且申请侨眷身份时仍保持抚养关系的，其侨眷身份由县级以上人民政府侨务工作部门依据公证机关出具的抚养公证书审核确认。</w:t>
            </w:r>
          </w:p>
        </w:tc>
        <w:tc>
          <w:tcPr>
            <w:tcW w:w="83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textAlignment w:val="center"/>
              <w:rPr>
                <w:rFonts w:hint="eastAsia" w:ascii="仿宋_GB2312" w:hAnsi="仿宋_GB2312" w:eastAsia="仿宋_GB2312" w:cs="仿宋_GB2312"/>
                <w:color w:val="000000" w:themeColor="text1"/>
                <w:sz w:val="18"/>
                <w:szCs w:val="18"/>
                <w14:textFill>
                  <w14:solidFill>
                    <w14:schemeClr w14:val="tx1"/>
                  </w14:solidFill>
                </w14:textFill>
              </w:rPr>
            </w:pPr>
            <w:r>
              <w:rPr>
                <w:rFonts w:hint="eastAsia" w:ascii="仿宋_GB2312" w:hAnsi="仿宋_GB2312" w:eastAsia="仿宋_GB2312" w:cs="仿宋_GB2312"/>
                <w:color w:val="000000" w:themeColor="text1"/>
                <w:kern w:val="0"/>
                <w:sz w:val="18"/>
                <w:szCs w:val="18"/>
                <w:lang w:bidi="ar"/>
                <w14:textFill>
                  <w14:solidFill>
                    <w14:schemeClr w14:val="tx1"/>
                  </w14:solidFill>
                </w14:textFill>
              </w:rPr>
              <w:t>1.行政机关；2.相关工作人员（审查人、法定代表人或分管领导)</w:t>
            </w:r>
          </w:p>
        </w:tc>
        <w:tc>
          <w:tcPr>
            <w:tcW w:w="163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textAlignment w:val="center"/>
              <w:rPr>
                <w:rFonts w:hint="eastAsia" w:ascii="仿宋_GB2312" w:hAnsi="仿宋_GB2312" w:eastAsia="仿宋_GB2312" w:cs="仿宋_GB2312"/>
                <w:color w:val="000000" w:themeColor="text1"/>
                <w:sz w:val="18"/>
                <w:szCs w:val="18"/>
                <w14:textFill>
                  <w14:solidFill>
                    <w14:schemeClr w14:val="tx1"/>
                  </w14:solidFill>
                </w14:textFill>
              </w:rPr>
            </w:pPr>
            <w:r>
              <w:rPr>
                <w:rFonts w:hint="eastAsia" w:ascii="仿宋_GB2312" w:hAnsi="仿宋_GB2312" w:eastAsia="仿宋_GB2312" w:cs="仿宋_GB2312"/>
                <w:color w:val="000000" w:themeColor="text1"/>
                <w:kern w:val="0"/>
                <w:sz w:val="18"/>
                <w:szCs w:val="18"/>
                <w:lang w:bidi="ar"/>
                <w14:textFill>
                  <w14:solidFill>
                    <w14:schemeClr w14:val="tx1"/>
                  </w14:solidFill>
                </w14:textFill>
              </w:rPr>
              <w:t>因不履行或不正确履行行政职责，有下列情形的，行政机关及相关工作人员应承担相应责任：</w:t>
            </w:r>
            <w:r>
              <w:rPr>
                <w:rFonts w:hint="eastAsia" w:ascii="仿宋_GB2312" w:hAnsi="仿宋_GB2312" w:eastAsia="仿宋_GB2312" w:cs="仿宋_GB2312"/>
                <w:color w:val="000000" w:themeColor="text1"/>
                <w:kern w:val="0"/>
                <w:sz w:val="18"/>
                <w:szCs w:val="18"/>
                <w:lang w:bidi="ar"/>
                <w14:textFill>
                  <w14:solidFill>
                    <w14:schemeClr w14:val="tx1"/>
                  </w14:solidFill>
                </w14:textFill>
              </w:rPr>
              <w:br w:type="textWrapping"/>
            </w:r>
            <w:r>
              <w:rPr>
                <w:rFonts w:hint="eastAsia" w:ascii="仿宋_GB2312" w:hAnsi="仿宋_GB2312" w:eastAsia="仿宋_GB2312" w:cs="仿宋_GB2312"/>
                <w:color w:val="000000" w:themeColor="text1"/>
                <w:kern w:val="0"/>
                <w:sz w:val="18"/>
                <w:szCs w:val="18"/>
                <w:lang w:bidi="ar"/>
                <w14:textFill>
                  <w14:solidFill>
                    <w14:schemeClr w14:val="tx1"/>
                  </w14:solidFill>
                </w14:textFill>
              </w:rPr>
              <w:t>1、对符合法定条件的华侨、归侨、侨眷身份认定申请不予受理的；</w:t>
            </w:r>
            <w:r>
              <w:rPr>
                <w:rFonts w:hint="eastAsia" w:ascii="仿宋_GB2312" w:hAnsi="仿宋_GB2312" w:eastAsia="仿宋_GB2312" w:cs="仿宋_GB2312"/>
                <w:color w:val="000000" w:themeColor="text1"/>
                <w:kern w:val="0"/>
                <w:sz w:val="18"/>
                <w:szCs w:val="18"/>
                <w:lang w:bidi="ar"/>
                <w14:textFill>
                  <w14:solidFill>
                    <w14:schemeClr w14:val="tx1"/>
                  </w14:solidFill>
                </w14:textFill>
              </w:rPr>
              <w:br w:type="textWrapping"/>
            </w:r>
            <w:r>
              <w:rPr>
                <w:rFonts w:hint="eastAsia" w:ascii="仿宋_GB2312" w:hAnsi="仿宋_GB2312" w:eastAsia="仿宋_GB2312" w:cs="仿宋_GB2312"/>
                <w:color w:val="000000" w:themeColor="text1"/>
                <w:kern w:val="0"/>
                <w:sz w:val="18"/>
                <w:szCs w:val="18"/>
                <w:lang w:bidi="ar"/>
                <w14:textFill>
                  <w14:solidFill>
                    <w14:schemeClr w14:val="tx1"/>
                  </w14:solidFill>
                </w14:textFill>
              </w:rPr>
              <w:t>2、对不符合法定条件的华侨、归侨、侨眷身份认定申请准予受理的或者超越法定职权作出认定的；</w:t>
            </w:r>
            <w:r>
              <w:rPr>
                <w:rFonts w:hint="eastAsia" w:ascii="仿宋_GB2312" w:hAnsi="仿宋_GB2312" w:eastAsia="仿宋_GB2312" w:cs="仿宋_GB2312"/>
                <w:color w:val="000000" w:themeColor="text1"/>
                <w:kern w:val="0"/>
                <w:sz w:val="18"/>
                <w:szCs w:val="18"/>
                <w:lang w:bidi="ar"/>
                <w14:textFill>
                  <w14:solidFill>
                    <w14:schemeClr w14:val="tx1"/>
                  </w14:solidFill>
                </w14:textFill>
              </w:rPr>
              <w:br w:type="textWrapping"/>
            </w:r>
            <w:r>
              <w:rPr>
                <w:rFonts w:hint="eastAsia" w:ascii="仿宋_GB2312" w:hAnsi="仿宋_GB2312" w:eastAsia="仿宋_GB2312" w:cs="仿宋_GB2312"/>
                <w:color w:val="000000" w:themeColor="text1"/>
                <w:kern w:val="0"/>
                <w:sz w:val="18"/>
                <w:szCs w:val="18"/>
                <w:lang w:bidi="ar"/>
                <w14:textFill>
                  <w14:solidFill>
                    <w14:schemeClr w14:val="tx1"/>
                  </w14:solidFill>
                </w14:textFill>
              </w:rPr>
              <w:t>3、对符合法定条件的申请人不予认定或者不在法定期限内作出认定的；</w:t>
            </w:r>
            <w:r>
              <w:rPr>
                <w:rFonts w:hint="eastAsia" w:ascii="仿宋_GB2312" w:hAnsi="仿宋_GB2312" w:eastAsia="仿宋_GB2312" w:cs="仿宋_GB2312"/>
                <w:color w:val="000000" w:themeColor="text1"/>
                <w:kern w:val="0"/>
                <w:sz w:val="18"/>
                <w:szCs w:val="18"/>
                <w:lang w:bidi="ar"/>
                <w14:textFill>
                  <w14:solidFill>
                    <w14:schemeClr w14:val="tx1"/>
                  </w14:solidFill>
                </w14:textFill>
              </w:rPr>
              <w:br w:type="textWrapping"/>
            </w:r>
            <w:r>
              <w:rPr>
                <w:rFonts w:hint="eastAsia" w:ascii="仿宋_GB2312" w:hAnsi="仿宋_GB2312" w:eastAsia="仿宋_GB2312" w:cs="仿宋_GB2312"/>
                <w:color w:val="000000" w:themeColor="text1"/>
                <w:kern w:val="0"/>
                <w:sz w:val="18"/>
                <w:szCs w:val="18"/>
                <w:lang w:bidi="ar"/>
                <w14:textFill>
                  <w14:solidFill>
                    <w14:schemeClr w14:val="tx1"/>
                  </w14:solidFill>
                </w14:textFill>
              </w:rPr>
              <w:t>4、工作中玩忽职守、滥用职权的；</w:t>
            </w:r>
            <w:r>
              <w:rPr>
                <w:rFonts w:hint="eastAsia" w:ascii="仿宋_GB2312" w:hAnsi="仿宋_GB2312" w:eastAsia="仿宋_GB2312" w:cs="仿宋_GB2312"/>
                <w:color w:val="000000" w:themeColor="text1"/>
                <w:kern w:val="0"/>
                <w:sz w:val="18"/>
                <w:szCs w:val="18"/>
                <w:lang w:bidi="ar"/>
                <w14:textFill>
                  <w14:solidFill>
                    <w14:schemeClr w14:val="tx1"/>
                  </w14:solidFill>
                </w14:textFill>
              </w:rPr>
              <w:br w:type="textWrapping"/>
            </w:r>
            <w:r>
              <w:rPr>
                <w:rFonts w:hint="eastAsia" w:ascii="仿宋_GB2312" w:hAnsi="仿宋_GB2312" w:eastAsia="仿宋_GB2312" w:cs="仿宋_GB2312"/>
                <w:color w:val="000000" w:themeColor="text1"/>
                <w:kern w:val="0"/>
                <w:sz w:val="18"/>
                <w:szCs w:val="18"/>
                <w:lang w:bidi="ar"/>
                <w14:textFill>
                  <w14:solidFill>
                    <w14:schemeClr w14:val="tx1"/>
                  </w14:solidFill>
                </w14:textFill>
              </w:rPr>
              <w:t>5、办理华侨、归侨、侨眷身份认定过程中索要或者收受他人财物或者谋取其他利益的；</w:t>
            </w:r>
            <w:r>
              <w:rPr>
                <w:rFonts w:hint="eastAsia" w:ascii="仿宋_GB2312" w:hAnsi="仿宋_GB2312" w:eastAsia="仿宋_GB2312" w:cs="仿宋_GB2312"/>
                <w:color w:val="000000" w:themeColor="text1"/>
                <w:kern w:val="0"/>
                <w:sz w:val="18"/>
                <w:szCs w:val="18"/>
                <w:lang w:bidi="ar"/>
                <w14:textFill>
                  <w14:solidFill>
                    <w14:schemeClr w14:val="tx1"/>
                  </w14:solidFill>
                </w14:textFill>
              </w:rPr>
              <w:br w:type="textWrapping"/>
            </w:r>
            <w:r>
              <w:rPr>
                <w:rFonts w:hint="eastAsia" w:ascii="仿宋_GB2312" w:hAnsi="仿宋_GB2312" w:eastAsia="仿宋_GB2312" w:cs="仿宋_GB2312"/>
                <w:color w:val="000000" w:themeColor="text1"/>
                <w:kern w:val="0"/>
                <w:sz w:val="18"/>
                <w:szCs w:val="18"/>
                <w:lang w:bidi="ar"/>
                <w14:textFill>
                  <w14:solidFill>
                    <w14:schemeClr w14:val="tx1"/>
                  </w14:solidFill>
                </w14:textFill>
              </w:rPr>
              <w:t>6、未按裁量权规定，滥用裁量权的。</w:t>
            </w:r>
          </w:p>
        </w:tc>
        <w:tc>
          <w:tcPr>
            <w:tcW w:w="48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left"/>
              <w:textAlignment w:val="center"/>
              <w:rPr>
                <w:rFonts w:hint="eastAsia" w:ascii="仿宋_GB2312" w:hAnsi="仿宋_GB2312" w:eastAsia="仿宋_GB2312" w:cs="仿宋_GB2312"/>
                <w:color w:val="000000" w:themeColor="text1"/>
                <w:kern w:val="0"/>
                <w:sz w:val="18"/>
                <w:szCs w:val="18"/>
                <w:lang w:bidi="ar"/>
                <w14:textFill>
                  <w14:solidFill>
                    <w14:schemeClr w14:val="tx1"/>
                  </w14:solidFill>
                </w14:textFill>
              </w:rPr>
            </w:pPr>
          </w:p>
        </w:tc>
      </w:tr>
      <w:tr>
        <w:tblPrEx>
          <w:tblCellMar>
            <w:top w:w="15" w:type="dxa"/>
            <w:left w:w="15" w:type="dxa"/>
            <w:bottom w:w="15" w:type="dxa"/>
            <w:right w:w="15" w:type="dxa"/>
          </w:tblCellMar>
        </w:tblPrEx>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hint="eastAsia" w:ascii="仿宋_GB2312" w:hAnsi="仿宋_GB2312" w:eastAsia="仿宋_GB2312" w:cs="仿宋_GB2312"/>
                <w:color w:val="000000" w:themeColor="text1"/>
                <w:sz w:val="18"/>
                <w:szCs w:val="18"/>
                <w14:textFill>
                  <w14:solidFill>
                    <w14:schemeClr w14:val="tx1"/>
                  </w14:solidFill>
                </w14:textFill>
              </w:rPr>
            </w:pPr>
            <w:r>
              <w:rPr>
                <w:rFonts w:hint="eastAsia" w:ascii="仿宋_GB2312" w:hAnsi="仿宋_GB2312" w:eastAsia="仿宋_GB2312" w:cs="仿宋_GB2312"/>
                <w:color w:val="000000" w:themeColor="text1"/>
                <w:kern w:val="0"/>
                <w:sz w:val="18"/>
                <w:szCs w:val="18"/>
                <w:lang w:bidi="ar"/>
                <w14:textFill>
                  <w14:solidFill>
                    <w14:schemeClr w14:val="tx1"/>
                  </w14:solidFill>
                </w14:textFill>
              </w:rPr>
              <w:t>2</w:t>
            </w:r>
          </w:p>
        </w:tc>
        <w:tc>
          <w:tcPr>
            <w:tcW w:w="72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textAlignment w:val="center"/>
              <w:rPr>
                <w:rFonts w:hint="eastAsia" w:ascii="仿宋_GB2312" w:hAnsi="仿宋_GB2312" w:eastAsia="仿宋_GB2312" w:cs="仿宋_GB2312"/>
                <w:color w:val="000000" w:themeColor="text1"/>
                <w:sz w:val="18"/>
                <w:szCs w:val="18"/>
                <w14:textFill>
                  <w14:solidFill>
                    <w14:schemeClr w14:val="tx1"/>
                  </w14:solidFill>
                </w14:textFill>
              </w:rPr>
            </w:pPr>
            <w:r>
              <w:rPr>
                <w:rFonts w:hint="eastAsia" w:ascii="仿宋_GB2312" w:hAnsi="仿宋_GB2312" w:eastAsia="仿宋_GB2312" w:cs="仿宋_GB2312"/>
                <w:color w:val="000000" w:themeColor="text1"/>
                <w:kern w:val="0"/>
                <w:sz w:val="18"/>
                <w:szCs w:val="18"/>
                <w:lang w:bidi="ar"/>
                <w14:textFill>
                  <w14:solidFill>
                    <w14:schemeClr w14:val="tx1"/>
                  </w14:solidFill>
                </w14:textFill>
              </w:rPr>
              <w:t>对生活困难的归侨、侨眷救济</w:t>
            </w:r>
          </w:p>
        </w:tc>
        <w:tc>
          <w:tcPr>
            <w:tcW w:w="5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rPr>
                <w:rFonts w:hint="eastAsia" w:ascii="仿宋_GB2312" w:hAnsi="仿宋_GB2312" w:eastAsia="仿宋_GB2312" w:cs="仿宋_GB2312"/>
                <w:color w:val="000000" w:themeColor="text1"/>
                <w:sz w:val="18"/>
                <w:szCs w:val="18"/>
                <w14:textFill>
                  <w14:solidFill>
                    <w14:schemeClr w14:val="tx1"/>
                  </w14:solidFill>
                </w14:textFill>
              </w:rPr>
            </w:pPr>
          </w:p>
        </w:tc>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hint="eastAsia" w:ascii="仿宋_GB2312" w:hAnsi="仿宋_GB2312" w:eastAsia="仿宋_GB2312" w:cs="仿宋_GB2312"/>
                <w:color w:val="000000" w:themeColor="text1"/>
                <w:sz w:val="18"/>
                <w:szCs w:val="18"/>
                <w14:textFill>
                  <w14:solidFill>
                    <w14:schemeClr w14:val="tx1"/>
                  </w14:solidFill>
                </w14:textFill>
              </w:rPr>
            </w:pPr>
            <w:r>
              <w:rPr>
                <w:rFonts w:hint="eastAsia" w:ascii="仿宋_GB2312" w:hAnsi="仿宋_GB2312" w:eastAsia="仿宋_GB2312" w:cs="仿宋_GB2312"/>
                <w:color w:val="000000" w:themeColor="text1"/>
                <w:kern w:val="0"/>
                <w:sz w:val="18"/>
                <w:szCs w:val="18"/>
                <w:lang w:bidi="ar"/>
                <w14:textFill>
                  <w14:solidFill>
                    <w14:schemeClr w14:val="tx1"/>
                  </w14:solidFill>
                </w14:textFill>
              </w:rPr>
              <w:t>行政给付</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hint="eastAsia" w:ascii="仿宋_GB2312" w:hAnsi="仿宋_GB2312" w:eastAsia="仿宋_GB2312" w:cs="仿宋_GB2312"/>
                <w:color w:val="000000" w:themeColor="text1"/>
                <w:sz w:val="18"/>
                <w:szCs w:val="18"/>
                <w14:textFill>
                  <w14:solidFill>
                    <w14:schemeClr w14:val="tx1"/>
                  </w14:solidFill>
                </w14:textFill>
              </w:rPr>
            </w:pPr>
            <w:r>
              <w:rPr>
                <w:rFonts w:hint="eastAsia" w:ascii="仿宋_GB2312" w:hAnsi="仿宋_GB2312" w:eastAsia="仿宋_GB2312" w:cs="仿宋_GB2312"/>
                <w:color w:val="000000" w:themeColor="text1"/>
                <w:kern w:val="0"/>
                <w:sz w:val="18"/>
                <w:szCs w:val="18"/>
                <w:lang w:bidi="ar"/>
                <w14:textFill>
                  <w14:solidFill>
                    <w14:schemeClr w14:val="tx1"/>
                  </w14:solidFill>
                </w14:textFill>
              </w:rPr>
              <w:t>0123001000</w:t>
            </w:r>
          </w:p>
        </w:tc>
        <w:tc>
          <w:tcPr>
            <w:tcW w:w="119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rPr>
                <w:rFonts w:hint="eastAsia" w:ascii="仿宋_GB2312" w:hAnsi="仿宋_GB2312" w:eastAsia="仿宋_GB2312" w:cs="仿宋_GB2312"/>
                <w:color w:val="000000" w:themeColor="text1"/>
                <w:sz w:val="18"/>
                <w:szCs w:val="18"/>
                <w14:textFill>
                  <w14:solidFill>
                    <w14:schemeClr w14:val="tx1"/>
                  </w14:solidFill>
                </w14:textFill>
              </w:rPr>
            </w:pPr>
          </w:p>
        </w:tc>
        <w:tc>
          <w:tcPr>
            <w:tcW w:w="90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hint="eastAsia" w:ascii="仿宋_GB2312" w:hAnsi="仿宋_GB2312" w:eastAsia="仿宋_GB2312" w:cs="仿宋_GB2312"/>
                <w:color w:val="000000" w:themeColor="text1"/>
                <w:sz w:val="18"/>
                <w:szCs w:val="18"/>
                <w14:textFill>
                  <w14:solidFill>
                    <w14:schemeClr w14:val="tx1"/>
                  </w14:solidFill>
                </w14:textFill>
              </w:rPr>
            </w:pPr>
            <w:r>
              <w:rPr>
                <w:rFonts w:hint="eastAsia" w:ascii="仿宋_GB2312" w:hAnsi="仿宋_GB2312" w:eastAsia="仿宋_GB2312" w:cs="仿宋_GB2312"/>
                <w:color w:val="000000" w:themeColor="text1"/>
                <w:kern w:val="0"/>
                <w:sz w:val="18"/>
                <w:szCs w:val="18"/>
                <w:lang w:bidi="ar"/>
                <w14:textFill>
                  <w14:solidFill>
                    <w14:schemeClr w14:val="tx1"/>
                  </w14:solidFill>
                </w14:textFill>
              </w:rPr>
              <w:t>银川市政府侨务办公室</w:t>
            </w:r>
          </w:p>
        </w:tc>
        <w:tc>
          <w:tcPr>
            <w:tcW w:w="90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hint="eastAsia" w:ascii="仿宋_GB2312" w:hAnsi="仿宋_GB2312" w:eastAsia="仿宋_GB2312" w:cs="仿宋_GB2312"/>
                <w:color w:val="000000" w:themeColor="text1"/>
                <w:sz w:val="18"/>
                <w:szCs w:val="18"/>
                <w14:textFill>
                  <w14:solidFill>
                    <w14:schemeClr w14:val="tx1"/>
                  </w14:solidFill>
                </w14:textFill>
              </w:rPr>
            </w:pPr>
            <w:r>
              <w:rPr>
                <w:rFonts w:hint="eastAsia" w:ascii="仿宋_GB2312" w:hAnsi="仿宋_GB2312" w:eastAsia="仿宋_GB2312" w:cs="仿宋_GB2312"/>
                <w:color w:val="000000" w:themeColor="text1"/>
                <w:kern w:val="0"/>
                <w:sz w:val="18"/>
                <w:szCs w:val="18"/>
                <w:lang w:bidi="ar"/>
                <w14:textFill>
                  <w14:solidFill>
                    <w14:schemeClr w14:val="tx1"/>
                  </w14:solidFill>
                </w14:textFill>
              </w:rPr>
              <w:t>银川市政府侨务办公室</w:t>
            </w:r>
          </w:p>
        </w:tc>
        <w:tc>
          <w:tcPr>
            <w:tcW w:w="218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textAlignment w:val="center"/>
              <w:rPr>
                <w:rFonts w:hint="eastAsia" w:ascii="仿宋_GB2312" w:hAnsi="仿宋_GB2312" w:eastAsia="仿宋_GB2312" w:cs="仿宋_GB2312"/>
                <w:color w:val="000000" w:themeColor="text1"/>
                <w:sz w:val="18"/>
                <w:szCs w:val="18"/>
                <w14:textFill>
                  <w14:solidFill>
                    <w14:schemeClr w14:val="tx1"/>
                  </w14:solidFill>
                </w14:textFill>
              </w:rPr>
            </w:pPr>
            <w:r>
              <w:rPr>
                <w:rFonts w:hint="eastAsia" w:ascii="仿宋_GB2312" w:hAnsi="仿宋_GB2312" w:eastAsia="仿宋_GB2312" w:cs="仿宋_GB2312"/>
                <w:color w:val="000000" w:themeColor="text1"/>
                <w:kern w:val="0"/>
                <w:sz w:val="18"/>
                <w:szCs w:val="18"/>
                <w:lang w:bidi="ar"/>
                <w14:textFill>
                  <w14:solidFill>
                    <w14:schemeClr w14:val="tx1"/>
                  </w14:solidFill>
                </w14:textFill>
              </w:rPr>
              <w:t>【法律】《中华人民共和国归侨侨眷权益保护法》（2009修正））</w:t>
            </w:r>
            <w:r>
              <w:rPr>
                <w:rFonts w:hint="eastAsia" w:ascii="仿宋_GB2312" w:hAnsi="仿宋_GB2312" w:eastAsia="仿宋_GB2312" w:cs="仿宋_GB2312"/>
                <w:color w:val="000000" w:themeColor="text1"/>
                <w:kern w:val="0"/>
                <w:sz w:val="18"/>
                <w:szCs w:val="18"/>
                <w:lang w:bidi="ar"/>
                <w14:textFill>
                  <w14:solidFill>
                    <w14:schemeClr w14:val="tx1"/>
                  </w14:solidFill>
                </w14:textFill>
              </w:rPr>
              <w:br w:type="textWrapping"/>
            </w:r>
            <w:r>
              <w:rPr>
                <w:rFonts w:hint="eastAsia" w:ascii="仿宋_GB2312" w:hAnsi="仿宋_GB2312" w:eastAsia="仿宋_GB2312" w:cs="仿宋_GB2312"/>
                <w:color w:val="000000" w:themeColor="text1"/>
                <w:kern w:val="0"/>
                <w:sz w:val="18"/>
                <w:szCs w:val="18"/>
                <w:lang w:bidi="ar"/>
                <w14:textFill>
                  <w14:solidFill>
                    <w14:schemeClr w14:val="tx1"/>
                  </w14:solidFill>
                </w14:textFill>
              </w:rPr>
              <w:t>第十条第二款　对丧失劳动能力又无经济来源或者生活确有困难的归侨、侨眷，当地政府应当给予救济。</w:t>
            </w:r>
            <w:r>
              <w:rPr>
                <w:rFonts w:hint="eastAsia" w:ascii="仿宋_GB2312" w:hAnsi="仿宋_GB2312" w:eastAsia="仿宋_GB2312" w:cs="仿宋_GB2312"/>
                <w:color w:val="000000" w:themeColor="text1"/>
                <w:kern w:val="0"/>
                <w:sz w:val="18"/>
                <w:szCs w:val="18"/>
                <w:lang w:bidi="ar"/>
                <w14:textFill>
                  <w14:solidFill>
                    <w14:schemeClr w14:val="tx1"/>
                  </w14:solidFill>
                </w14:textFill>
              </w:rPr>
              <w:br w:type="textWrapping"/>
            </w:r>
            <w:r>
              <w:rPr>
                <w:rFonts w:hint="eastAsia" w:ascii="仿宋_GB2312" w:hAnsi="仿宋_GB2312" w:eastAsia="仿宋_GB2312" w:cs="仿宋_GB2312"/>
                <w:color w:val="000000" w:themeColor="text1"/>
                <w:kern w:val="0"/>
                <w:sz w:val="18"/>
                <w:szCs w:val="18"/>
                <w:lang w:bidi="ar"/>
                <w14:textFill>
                  <w14:solidFill>
                    <w14:schemeClr w14:val="tx1"/>
                  </w14:solidFill>
                </w14:textFill>
              </w:rPr>
              <w:t>【行政法规】《中华人民共和国归侨侨眷权益保护法实施办法》（2004年国务院令第410号）</w:t>
            </w:r>
            <w:r>
              <w:rPr>
                <w:rFonts w:hint="eastAsia" w:ascii="仿宋_GB2312" w:hAnsi="仿宋_GB2312" w:eastAsia="仿宋_GB2312" w:cs="仿宋_GB2312"/>
                <w:color w:val="000000" w:themeColor="text1"/>
                <w:kern w:val="0"/>
                <w:sz w:val="18"/>
                <w:szCs w:val="18"/>
                <w:lang w:bidi="ar"/>
                <w14:textFill>
                  <w14:solidFill>
                    <w14:schemeClr w14:val="tx1"/>
                  </w14:solidFill>
                </w14:textFill>
              </w:rPr>
              <w:br w:type="textWrapping"/>
            </w:r>
            <w:r>
              <w:rPr>
                <w:rFonts w:hint="eastAsia" w:ascii="仿宋_GB2312" w:hAnsi="仿宋_GB2312" w:eastAsia="仿宋_GB2312" w:cs="仿宋_GB2312"/>
                <w:color w:val="000000" w:themeColor="text1"/>
                <w:kern w:val="0"/>
                <w:sz w:val="18"/>
                <w:szCs w:val="18"/>
                <w:lang w:bidi="ar"/>
                <w14:textFill>
                  <w14:solidFill>
                    <w14:schemeClr w14:val="tx1"/>
                  </w14:solidFill>
                </w14:textFill>
              </w:rPr>
              <w:t>第十一条第二款　地方人民政府对生活确有困难的归侨、侨眷，应当给予救济，并对其生产，就业给予扶持；依法保障丧失劳动能力又无经济来源的归侨、侨眷的基本生活。</w:t>
            </w:r>
            <w:r>
              <w:rPr>
                <w:rFonts w:hint="eastAsia" w:ascii="仿宋_GB2312" w:hAnsi="仿宋_GB2312" w:eastAsia="仿宋_GB2312" w:cs="仿宋_GB2312"/>
                <w:color w:val="000000" w:themeColor="text1"/>
                <w:kern w:val="0"/>
                <w:sz w:val="18"/>
                <w:szCs w:val="18"/>
                <w:lang w:bidi="ar"/>
                <w14:textFill>
                  <w14:solidFill>
                    <w14:schemeClr w14:val="tx1"/>
                  </w14:solidFill>
                </w14:textFill>
              </w:rPr>
              <w:br w:type="textWrapping"/>
            </w:r>
            <w:r>
              <w:rPr>
                <w:rFonts w:hint="eastAsia" w:ascii="仿宋_GB2312" w:hAnsi="仿宋_GB2312" w:eastAsia="仿宋_GB2312" w:cs="仿宋_GB2312"/>
                <w:color w:val="000000" w:themeColor="text1"/>
                <w:kern w:val="0"/>
                <w:sz w:val="18"/>
                <w:szCs w:val="18"/>
                <w:lang w:bidi="ar"/>
                <w14:textFill>
                  <w14:solidFill>
                    <w14:schemeClr w14:val="tx1"/>
                  </w14:solidFill>
                </w14:textFill>
              </w:rPr>
              <w:t>【地方性法规】《宁夏回族自治区实施&lt;中华人民共和国归侨侨眷权益保护法&gt;办法》（2011年修正）</w:t>
            </w:r>
            <w:r>
              <w:rPr>
                <w:rFonts w:hint="eastAsia" w:ascii="仿宋_GB2312" w:hAnsi="仿宋_GB2312" w:eastAsia="仿宋_GB2312" w:cs="仿宋_GB2312"/>
                <w:color w:val="000000" w:themeColor="text1"/>
                <w:kern w:val="0"/>
                <w:sz w:val="18"/>
                <w:szCs w:val="18"/>
                <w:lang w:bidi="ar"/>
                <w14:textFill>
                  <w14:solidFill>
                    <w14:schemeClr w14:val="tx1"/>
                  </w14:solidFill>
                </w14:textFill>
              </w:rPr>
              <w:br w:type="textWrapping"/>
            </w:r>
            <w:r>
              <w:rPr>
                <w:rFonts w:hint="eastAsia" w:ascii="仿宋_GB2312" w:hAnsi="仿宋_GB2312" w:eastAsia="仿宋_GB2312" w:cs="仿宋_GB2312"/>
                <w:color w:val="000000" w:themeColor="text1"/>
                <w:kern w:val="0"/>
                <w:sz w:val="18"/>
                <w:szCs w:val="18"/>
                <w:lang w:bidi="ar"/>
                <w14:textFill>
                  <w14:solidFill>
                    <w14:schemeClr w14:val="tx1"/>
                  </w14:solidFill>
                </w14:textFill>
              </w:rPr>
              <w:t>第二十四条　各级人民政府及其有关部门，应当把生活困难的归侨、侨眷纳入当地扶贫计划，帮助解决生活困难，指导其发展生产，并在资金、技术等方面予以扶持。</w:t>
            </w:r>
            <w:r>
              <w:rPr>
                <w:rFonts w:hint="eastAsia" w:ascii="仿宋_GB2312" w:hAnsi="仿宋_GB2312" w:eastAsia="仿宋_GB2312" w:cs="仿宋_GB2312"/>
                <w:color w:val="000000" w:themeColor="text1"/>
                <w:kern w:val="0"/>
                <w:sz w:val="18"/>
                <w:szCs w:val="18"/>
                <w:lang w:bidi="ar"/>
                <w14:textFill>
                  <w14:solidFill>
                    <w14:schemeClr w14:val="tx1"/>
                  </w14:solidFill>
                </w14:textFill>
              </w:rPr>
              <w:br w:type="textWrapping"/>
            </w:r>
            <w:r>
              <w:rPr>
                <w:rFonts w:hint="eastAsia" w:ascii="仿宋_GB2312" w:hAnsi="仿宋_GB2312" w:eastAsia="仿宋_GB2312" w:cs="仿宋_GB2312"/>
                <w:color w:val="000000" w:themeColor="text1"/>
                <w:kern w:val="0"/>
                <w:sz w:val="18"/>
                <w:szCs w:val="18"/>
                <w:lang w:bidi="ar"/>
                <w14:textFill>
                  <w14:solidFill>
                    <w14:schemeClr w14:val="tx1"/>
                  </w14:solidFill>
                </w14:textFill>
              </w:rPr>
              <w:t>丧失劳动能力又无人赡养和无固定经济收入的归侨、侨眷，应当享受当地最低生活保障待遇，对其子女上学、就医有困难的，当地人民政府应当给予帮助;对生活仍有困难的归侨、侨眷，当地人民政府应当及时给予救济。</w:t>
            </w:r>
            <w:r>
              <w:rPr>
                <w:rFonts w:hint="eastAsia" w:ascii="仿宋_GB2312" w:hAnsi="仿宋_GB2312" w:eastAsia="仿宋_GB2312" w:cs="仿宋_GB2312"/>
                <w:color w:val="000000" w:themeColor="text1"/>
                <w:kern w:val="0"/>
                <w:sz w:val="18"/>
                <w:szCs w:val="18"/>
                <w:lang w:bidi="ar"/>
                <w14:textFill>
                  <w14:solidFill>
                    <w14:schemeClr w14:val="tx1"/>
                  </w14:solidFill>
                </w14:textFill>
              </w:rPr>
              <w:br w:type="textWrapping"/>
            </w:r>
            <w:r>
              <w:rPr>
                <w:rFonts w:hint="eastAsia" w:ascii="仿宋_GB2312" w:hAnsi="仿宋_GB2312" w:eastAsia="仿宋_GB2312" w:cs="仿宋_GB2312"/>
                <w:color w:val="000000" w:themeColor="text1"/>
                <w:kern w:val="0"/>
                <w:sz w:val="18"/>
                <w:szCs w:val="18"/>
                <w:lang w:bidi="ar"/>
                <w14:textFill>
                  <w14:solidFill>
                    <w14:schemeClr w14:val="tx1"/>
                  </w14:solidFill>
                </w14:textFill>
              </w:rPr>
              <w:t>敬老院、养老院、福利院对符合条件的归侨、侨眷，应当优先接收。</w:t>
            </w:r>
          </w:p>
        </w:tc>
        <w:tc>
          <w:tcPr>
            <w:tcW w:w="15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textAlignment w:val="center"/>
              <w:rPr>
                <w:rFonts w:hint="eastAsia" w:ascii="仿宋_GB2312" w:hAnsi="仿宋_GB2312" w:eastAsia="仿宋_GB2312" w:cs="仿宋_GB2312"/>
                <w:color w:val="000000" w:themeColor="text1"/>
                <w:sz w:val="18"/>
                <w:szCs w:val="18"/>
                <w14:textFill>
                  <w14:solidFill>
                    <w14:schemeClr w14:val="tx1"/>
                  </w14:solidFill>
                </w14:textFill>
              </w:rPr>
            </w:pPr>
            <w:r>
              <w:rPr>
                <w:rFonts w:hint="eastAsia" w:ascii="仿宋_GB2312" w:hAnsi="仿宋_GB2312" w:eastAsia="仿宋_GB2312" w:cs="仿宋_GB2312"/>
                <w:color w:val="000000" w:themeColor="text1"/>
                <w:kern w:val="0"/>
                <w:sz w:val="18"/>
                <w:szCs w:val="18"/>
                <w:lang w:bidi="ar"/>
                <w14:textFill>
                  <w14:solidFill>
                    <w14:schemeClr w14:val="tx1"/>
                  </w14:solidFill>
                </w14:textFill>
              </w:rPr>
              <w:t>受理责任：各级人民政府及其有关部门，应当把生活困难的归侨、侨眷纳入当地扶贫计划，帮助解决生活困难，指导其发展生产，并在资金、技术等方面予以扶持。丧失劳动能力又无人赡养和无固定经济收入的归侨、侨眷，应当享受当地最低生活保障待遇，对其子女上学、就医有困难的，当地人民政府应当给予帮助;对生活仍有困难的归侨、侨眷，当地人民政府应当及时给予救济。</w:t>
            </w:r>
          </w:p>
        </w:tc>
        <w:tc>
          <w:tcPr>
            <w:tcW w:w="210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textAlignment w:val="center"/>
              <w:rPr>
                <w:rFonts w:hint="eastAsia" w:ascii="仿宋_GB2312" w:hAnsi="仿宋_GB2312" w:eastAsia="仿宋_GB2312" w:cs="仿宋_GB2312"/>
                <w:color w:val="000000" w:themeColor="text1"/>
                <w:sz w:val="18"/>
                <w:szCs w:val="18"/>
                <w14:textFill>
                  <w14:solidFill>
                    <w14:schemeClr w14:val="tx1"/>
                  </w14:solidFill>
                </w14:textFill>
              </w:rPr>
            </w:pPr>
            <w:r>
              <w:rPr>
                <w:rFonts w:hint="eastAsia" w:ascii="仿宋_GB2312" w:hAnsi="仿宋_GB2312" w:eastAsia="仿宋_GB2312" w:cs="仿宋_GB2312"/>
                <w:color w:val="000000" w:themeColor="text1"/>
                <w:kern w:val="0"/>
                <w:sz w:val="18"/>
                <w:szCs w:val="18"/>
                <w:lang w:bidi="ar"/>
                <w14:textFill>
                  <w14:solidFill>
                    <w14:schemeClr w14:val="tx1"/>
                  </w14:solidFill>
                </w14:textFill>
              </w:rPr>
              <w:t>1-1.《中华人民共和国归侨侨眷权益保护法》（2009修正）） 第十条第二款 对丧失劳动能力又无经济来源或者生活确有困难的归侨、侨眷，当地政府应当给予救济。</w:t>
            </w:r>
            <w:r>
              <w:rPr>
                <w:rFonts w:hint="eastAsia" w:ascii="仿宋_GB2312" w:hAnsi="仿宋_GB2312" w:eastAsia="仿宋_GB2312" w:cs="仿宋_GB2312"/>
                <w:color w:val="000000" w:themeColor="text1"/>
                <w:kern w:val="0"/>
                <w:sz w:val="18"/>
                <w:szCs w:val="18"/>
                <w:lang w:bidi="ar"/>
                <w14:textFill>
                  <w14:solidFill>
                    <w14:schemeClr w14:val="tx1"/>
                  </w14:solidFill>
                </w14:textFill>
              </w:rPr>
              <w:br w:type="textWrapping"/>
            </w:r>
            <w:r>
              <w:rPr>
                <w:rFonts w:hint="eastAsia" w:ascii="仿宋_GB2312" w:hAnsi="仿宋_GB2312" w:eastAsia="仿宋_GB2312" w:cs="仿宋_GB2312"/>
                <w:color w:val="000000" w:themeColor="text1"/>
                <w:kern w:val="0"/>
                <w:sz w:val="18"/>
                <w:szCs w:val="18"/>
                <w:lang w:bidi="ar"/>
                <w14:textFill>
                  <w14:solidFill>
                    <w14:schemeClr w14:val="tx1"/>
                  </w14:solidFill>
                </w14:textFill>
              </w:rPr>
              <w:t>1-2.《中华人民共和国归侨侨眷权益保护法实施办法》（2004年国务院令第410号）</w:t>
            </w:r>
            <w:r>
              <w:rPr>
                <w:rFonts w:hint="eastAsia" w:ascii="仿宋_GB2312" w:hAnsi="仿宋_GB2312" w:eastAsia="仿宋_GB2312" w:cs="仿宋_GB2312"/>
                <w:color w:val="000000" w:themeColor="text1"/>
                <w:kern w:val="0"/>
                <w:sz w:val="18"/>
                <w:szCs w:val="18"/>
                <w:lang w:bidi="ar"/>
                <w14:textFill>
                  <w14:solidFill>
                    <w14:schemeClr w14:val="tx1"/>
                  </w14:solidFill>
                </w14:textFill>
              </w:rPr>
              <w:br w:type="textWrapping"/>
            </w:r>
            <w:r>
              <w:rPr>
                <w:rFonts w:hint="eastAsia" w:ascii="仿宋_GB2312" w:hAnsi="仿宋_GB2312" w:eastAsia="仿宋_GB2312" w:cs="仿宋_GB2312"/>
                <w:color w:val="000000" w:themeColor="text1"/>
                <w:kern w:val="0"/>
                <w:sz w:val="18"/>
                <w:szCs w:val="18"/>
                <w:lang w:bidi="ar"/>
                <w14:textFill>
                  <w14:solidFill>
                    <w14:schemeClr w14:val="tx1"/>
                  </w14:solidFill>
                </w14:textFill>
              </w:rPr>
              <w:t>第十一条第二款 地方人民政府对生活确有困难的归侨、侨眷，应当给予救济，并对其生产，就业给予扶持；依法保障丧失劳动能力又无经济来源的归侨、侨眷的基本生活。</w:t>
            </w:r>
            <w:r>
              <w:rPr>
                <w:rFonts w:hint="eastAsia" w:ascii="仿宋_GB2312" w:hAnsi="仿宋_GB2312" w:eastAsia="仿宋_GB2312" w:cs="仿宋_GB2312"/>
                <w:color w:val="000000" w:themeColor="text1"/>
                <w:kern w:val="0"/>
                <w:sz w:val="18"/>
                <w:szCs w:val="18"/>
                <w:lang w:bidi="ar"/>
                <w14:textFill>
                  <w14:solidFill>
                    <w14:schemeClr w14:val="tx1"/>
                  </w14:solidFill>
                </w14:textFill>
              </w:rPr>
              <w:br w:type="textWrapping"/>
            </w:r>
            <w:r>
              <w:rPr>
                <w:rFonts w:hint="eastAsia" w:ascii="仿宋_GB2312" w:hAnsi="仿宋_GB2312" w:eastAsia="仿宋_GB2312" w:cs="仿宋_GB2312"/>
                <w:color w:val="000000" w:themeColor="text1"/>
                <w:kern w:val="0"/>
                <w:sz w:val="18"/>
                <w:szCs w:val="18"/>
                <w:lang w:bidi="ar"/>
                <w14:textFill>
                  <w14:solidFill>
                    <w14:schemeClr w14:val="tx1"/>
                  </w14:solidFill>
                </w14:textFill>
              </w:rPr>
              <w:t>1-3.《宁夏回族自治区实施&lt;中华人民共和国归侨侨眷权益保护法&gt;办法》（2011年修正）第二十四条 各级人民政府及其有关部门，应当把生活困难的归侨、侨眷纳入当地扶贫计划，帮助解决生活困难，指导其发展生产，并在资金、技术方面予以扶持。丧失劳动能力又无人赡养和无固定经济收入的归侨、侨眷，应当享受当地最低生活保障待遇，对其子女上学、就医有困难的，当地人民政府应当给予帮助;对生活仍有困难的归侨、侨眷，当地人民政府应当及时给予救济。敬老院、养老院、福利院对符合条件的归侨、侨眷，应当优先接收。</w:t>
            </w:r>
          </w:p>
        </w:tc>
        <w:tc>
          <w:tcPr>
            <w:tcW w:w="83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textAlignment w:val="center"/>
              <w:rPr>
                <w:rFonts w:hint="eastAsia" w:ascii="仿宋_GB2312" w:hAnsi="仿宋_GB2312" w:eastAsia="仿宋_GB2312" w:cs="仿宋_GB2312"/>
                <w:color w:val="000000" w:themeColor="text1"/>
                <w:sz w:val="18"/>
                <w:szCs w:val="18"/>
                <w14:textFill>
                  <w14:solidFill>
                    <w14:schemeClr w14:val="tx1"/>
                  </w14:solidFill>
                </w14:textFill>
              </w:rPr>
            </w:pPr>
            <w:r>
              <w:rPr>
                <w:rFonts w:hint="eastAsia" w:ascii="仿宋_GB2312" w:hAnsi="仿宋_GB2312" w:eastAsia="仿宋_GB2312" w:cs="仿宋_GB2312"/>
                <w:color w:val="000000" w:themeColor="text1"/>
                <w:kern w:val="0"/>
                <w:sz w:val="18"/>
                <w:szCs w:val="18"/>
                <w:lang w:bidi="ar"/>
                <w14:textFill>
                  <w14:solidFill>
                    <w14:schemeClr w14:val="tx1"/>
                  </w14:solidFill>
                </w14:textFill>
              </w:rPr>
              <w:t>1.行政机关；2.相关工作人员（受理人、法定代表人或分管领导)</w:t>
            </w:r>
          </w:p>
        </w:tc>
        <w:tc>
          <w:tcPr>
            <w:tcW w:w="163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textAlignment w:val="center"/>
              <w:rPr>
                <w:rFonts w:hint="eastAsia" w:ascii="仿宋_GB2312" w:hAnsi="仿宋_GB2312" w:eastAsia="仿宋_GB2312" w:cs="仿宋_GB2312"/>
                <w:color w:val="000000" w:themeColor="text1"/>
                <w:sz w:val="18"/>
                <w:szCs w:val="18"/>
                <w14:textFill>
                  <w14:solidFill>
                    <w14:schemeClr w14:val="tx1"/>
                  </w14:solidFill>
                </w14:textFill>
              </w:rPr>
            </w:pPr>
            <w:r>
              <w:rPr>
                <w:rFonts w:hint="eastAsia" w:ascii="仿宋_GB2312" w:hAnsi="仿宋_GB2312" w:eastAsia="仿宋_GB2312" w:cs="仿宋_GB2312"/>
                <w:color w:val="000000" w:themeColor="text1"/>
                <w:kern w:val="0"/>
                <w:sz w:val="18"/>
                <w:szCs w:val="18"/>
                <w:lang w:bidi="ar"/>
                <w14:textFill>
                  <w14:solidFill>
                    <w14:schemeClr w14:val="tx1"/>
                  </w14:solidFill>
                </w14:textFill>
              </w:rPr>
              <w:t>因不履行或不正确履行行政职责，有下列情形的，行政机关及相关工作人员应承担相应责任：</w:t>
            </w:r>
            <w:r>
              <w:rPr>
                <w:rFonts w:hint="eastAsia" w:ascii="仿宋_GB2312" w:hAnsi="仿宋_GB2312" w:eastAsia="仿宋_GB2312" w:cs="仿宋_GB2312"/>
                <w:color w:val="000000" w:themeColor="text1"/>
                <w:kern w:val="0"/>
                <w:sz w:val="18"/>
                <w:szCs w:val="18"/>
                <w:lang w:bidi="ar"/>
                <w14:textFill>
                  <w14:solidFill>
                    <w14:schemeClr w14:val="tx1"/>
                  </w14:solidFill>
                </w14:textFill>
              </w:rPr>
              <w:br w:type="textWrapping"/>
            </w:r>
            <w:r>
              <w:rPr>
                <w:rFonts w:hint="eastAsia" w:ascii="仿宋_GB2312" w:hAnsi="仿宋_GB2312" w:eastAsia="仿宋_GB2312" w:cs="仿宋_GB2312"/>
                <w:color w:val="000000" w:themeColor="text1"/>
                <w:kern w:val="0"/>
                <w:sz w:val="18"/>
                <w:szCs w:val="18"/>
                <w:lang w:bidi="ar"/>
                <w14:textFill>
                  <w14:solidFill>
                    <w14:schemeClr w14:val="tx1"/>
                  </w14:solidFill>
                </w14:textFill>
              </w:rPr>
              <w:t>1、对符合法定条件的行政给付申请不予受理的；</w:t>
            </w:r>
            <w:r>
              <w:rPr>
                <w:rFonts w:hint="eastAsia" w:ascii="仿宋_GB2312" w:hAnsi="仿宋_GB2312" w:eastAsia="仿宋_GB2312" w:cs="仿宋_GB2312"/>
                <w:color w:val="000000" w:themeColor="text1"/>
                <w:kern w:val="0"/>
                <w:sz w:val="18"/>
                <w:szCs w:val="18"/>
                <w:lang w:bidi="ar"/>
                <w14:textFill>
                  <w14:solidFill>
                    <w14:schemeClr w14:val="tx1"/>
                  </w14:solidFill>
                </w14:textFill>
              </w:rPr>
              <w:br w:type="textWrapping"/>
            </w:r>
            <w:r>
              <w:rPr>
                <w:rFonts w:hint="eastAsia" w:ascii="仿宋_GB2312" w:hAnsi="仿宋_GB2312" w:eastAsia="仿宋_GB2312" w:cs="仿宋_GB2312"/>
                <w:color w:val="000000" w:themeColor="text1"/>
                <w:kern w:val="0"/>
                <w:sz w:val="18"/>
                <w:szCs w:val="18"/>
                <w:lang w:bidi="ar"/>
                <w14:textFill>
                  <w14:solidFill>
                    <w14:schemeClr w14:val="tx1"/>
                  </w14:solidFill>
                </w14:textFill>
              </w:rPr>
              <w:t>2、对不符合法定条件的行政给付申请准予受理的或者超越法定职权进行救济的；</w:t>
            </w:r>
            <w:r>
              <w:rPr>
                <w:rFonts w:hint="eastAsia" w:ascii="仿宋_GB2312" w:hAnsi="仿宋_GB2312" w:eastAsia="仿宋_GB2312" w:cs="仿宋_GB2312"/>
                <w:color w:val="000000" w:themeColor="text1"/>
                <w:kern w:val="0"/>
                <w:sz w:val="18"/>
                <w:szCs w:val="18"/>
                <w:lang w:bidi="ar"/>
                <w14:textFill>
                  <w14:solidFill>
                    <w14:schemeClr w14:val="tx1"/>
                  </w14:solidFill>
                </w14:textFill>
              </w:rPr>
              <w:br w:type="textWrapping"/>
            </w:r>
            <w:r>
              <w:rPr>
                <w:rFonts w:hint="eastAsia" w:ascii="仿宋_GB2312" w:hAnsi="仿宋_GB2312" w:eastAsia="仿宋_GB2312" w:cs="仿宋_GB2312"/>
                <w:color w:val="000000" w:themeColor="text1"/>
                <w:kern w:val="0"/>
                <w:sz w:val="18"/>
                <w:szCs w:val="18"/>
                <w:lang w:bidi="ar"/>
                <w14:textFill>
                  <w14:solidFill>
                    <w14:schemeClr w14:val="tx1"/>
                  </w14:solidFill>
                </w14:textFill>
              </w:rPr>
              <w:t>3、对符合法定条件的申请人不予行政给付或者不在法定期限内作出准予行政给付决定的；</w:t>
            </w:r>
            <w:r>
              <w:rPr>
                <w:rFonts w:hint="eastAsia" w:ascii="仿宋_GB2312" w:hAnsi="仿宋_GB2312" w:eastAsia="仿宋_GB2312" w:cs="仿宋_GB2312"/>
                <w:color w:val="000000" w:themeColor="text1"/>
                <w:kern w:val="0"/>
                <w:sz w:val="18"/>
                <w:szCs w:val="18"/>
                <w:lang w:bidi="ar"/>
                <w14:textFill>
                  <w14:solidFill>
                    <w14:schemeClr w14:val="tx1"/>
                  </w14:solidFill>
                </w14:textFill>
              </w:rPr>
              <w:br w:type="textWrapping"/>
            </w:r>
            <w:r>
              <w:rPr>
                <w:rFonts w:hint="eastAsia" w:ascii="仿宋_GB2312" w:hAnsi="仿宋_GB2312" w:eastAsia="仿宋_GB2312" w:cs="仿宋_GB2312"/>
                <w:color w:val="000000" w:themeColor="text1"/>
                <w:kern w:val="0"/>
                <w:sz w:val="18"/>
                <w:szCs w:val="18"/>
                <w:lang w:bidi="ar"/>
                <w14:textFill>
                  <w14:solidFill>
                    <w14:schemeClr w14:val="tx1"/>
                  </w14:solidFill>
                </w14:textFill>
              </w:rPr>
              <w:t>4、工作中玩忽职守、滥用职权的；5、办理生活困难的归侨、侨眷救济过程中索要或者收受他人财物或者谋取其他利益的；</w:t>
            </w:r>
            <w:r>
              <w:rPr>
                <w:rFonts w:hint="eastAsia" w:ascii="仿宋_GB2312" w:hAnsi="仿宋_GB2312" w:eastAsia="仿宋_GB2312" w:cs="仿宋_GB2312"/>
                <w:color w:val="000000" w:themeColor="text1"/>
                <w:kern w:val="0"/>
                <w:sz w:val="18"/>
                <w:szCs w:val="18"/>
                <w:lang w:bidi="ar"/>
                <w14:textFill>
                  <w14:solidFill>
                    <w14:schemeClr w14:val="tx1"/>
                  </w14:solidFill>
                </w14:textFill>
              </w:rPr>
              <w:br w:type="textWrapping"/>
            </w:r>
            <w:r>
              <w:rPr>
                <w:rFonts w:hint="eastAsia" w:ascii="仿宋_GB2312" w:hAnsi="仿宋_GB2312" w:eastAsia="仿宋_GB2312" w:cs="仿宋_GB2312"/>
                <w:color w:val="000000" w:themeColor="text1"/>
                <w:kern w:val="0"/>
                <w:sz w:val="18"/>
                <w:szCs w:val="18"/>
                <w:lang w:bidi="ar"/>
                <w14:textFill>
                  <w14:solidFill>
                    <w14:schemeClr w14:val="tx1"/>
                  </w14:solidFill>
                </w14:textFill>
              </w:rPr>
              <w:t>6、未按裁量权规定，滥用裁权的。</w:t>
            </w:r>
          </w:p>
        </w:tc>
        <w:tc>
          <w:tcPr>
            <w:tcW w:w="48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left"/>
              <w:textAlignment w:val="center"/>
              <w:rPr>
                <w:rFonts w:hint="eastAsia" w:ascii="仿宋_GB2312" w:hAnsi="仿宋_GB2312" w:eastAsia="仿宋_GB2312" w:cs="仿宋_GB2312"/>
                <w:color w:val="000000" w:themeColor="text1"/>
                <w:kern w:val="0"/>
                <w:sz w:val="18"/>
                <w:szCs w:val="18"/>
                <w:lang w:bidi="ar"/>
                <w14:textFill>
                  <w14:solidFill>
                    <w14:schemeClr w14:val="tx1"/>
                  </w14:solidFill>
                </w14:textFill>
              </w:rPr>
            </w:pPr>
          </w:p>
        </w:tc>
      </w:tr>
    </w:tbl>
    <w:p>
      <w:pPr>
        <w:rPr>
          <w:rFonts w:hint="eastAsia" w:ascii="仿宋_GB2312" w:hAnsi="仿宋_GB2312" w:eastAsia="仿宋_GB2312" w:cs="仿宋_GB2312"/>
          <w:sz w:val="18"/>
          <w:szCs w:val="18"/>
        </w:rPr>
      </w:pPr>
    </w:p>
    <w:sectPr>
      <w:footerReference r:id="rId3" w:type="default"/>
      <w:pgSz w:w="16783" w:h="11850" w:orient="landscape"/>
      <w:pgMar w:top="1134" w:right="850" w:bottom="1134" w:left="850" w:header="851" w:footer="992" w:gutter="0"/>
      <w:pgNumType w:fmt="numberInDash" w:start="1"/>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260350" cy="181610"/>
              <wp:effectExtent l="0" t="0" r="0" b="0"/>
              <wp:wrapNone/>
              <wp:docPr id="1" name="文本框 1"/>
              <wp:cNvGraphicFramePr/>
              <a:graphic xmlns:a="http://schemas.openxmlformats.org/drawingml/2006/main">
                <a:graphicData uri="http://schemas.microsoft.com/office/word/2010/wordprocessingShape">
                  <wps:wsp>
                    <wps:cNvSpPr txBox="1"/>
                    <wps:spPr>
                      <a:xfrm>
                        <a:off x="0" y="0"/>
                        <a:ext cx="260350" cy="18161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rPr>
                              <w:rFonts w:hint="eastAsia" w:ascii="Times New Roman" w:hAnsi="Times New Roman" w:cs="Times New Roman"/>
                              <w:sz w:val="24"/>
                              <w:szCs w:val="40"/>
                            </w:rPr>
                            <w:fldChar w:fldCharType="begin"/>
                          </w:r>
                          <w:r>
                            <w:rPr>
                              <w:rFonts w:hint="eastAsia" w:ascii="Times New Roman" w:hAnsi="Times New Roman" w:cs="Times New Roman"/>
                              <w:sz w:val="24"/>
                              <w:szCs w:val="40"/>
                            </w:rPr>
                            <w:instrText xml:space="preserve"> PAGE  \* MERGEFORMAT </w:instrText>
                          </w:r>
                          <w:r>
                            <w:rPr>
                              <w:rFonts w:hint="eastAsia" w:ascii="Times New Roman" w:hAnsi="Times New Roman" w:cs="Times New Roman"/>
                              <w:sz w:val="24"/>
                              <w:szCs w:val="40"/>
                            </w:rPr>
                            <w:fldChar w:fldCharType="separate"/>
                          </w:r>
                          <w:r>
                            <w:rPr>
                              <w:rFonts w:ascii="Times New Roman" w:hAnsi="Times New Roman" w:cs="Times New Roman"/>
                              <w:sz w:val="24"/>
                              <w:szCs w:val="40"/>
                            </w:rPr>
                            <w:t>- 1 -</w:t>
                          </w:r>
                          <w:r>
                            <w:rPr>
                              <w:rFonts w:hint="eastAsia" w:ascii="Times New Roman" w:hAnsi="Times New Roman" w:cs="Times New Roman"/>
                              <w:sz w:val="24"/>
                              <w:szCs w:val="40"/>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3pt;width:20.5pt;mso-position-horizontal:center;mso-position-horizontal-relative:margin;mso-wrap-style:none;z-index:251659264;mso-width-relative:page;mso-height-relative:page;" filled="f" stroked="f" coordsize="21600,21600" o:gfxdata="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Dj+nadEAAAADAQAADwAAAAAAAAABACAAAAAiAAAAZHJzL2Rvd25yZXYueG1sUEsBAhQAFAAAAAgA&#10;h07iQEEs1K0sAgAAUwQAAA4AAAAAAAAAAQAgAAAAIAEAAGRycy9lMm9Eb2MueG1sUEsFBgAAAAAG&#10;AAYAWQEAAL4FAAAAAA==&#10;">
              <v:fill on="f" focussize="0,0"/>
              <v:stroke on="f" weight="0.5pt"/>
              <v:imagedata o:title=""/>
              <o:lock v:ext="edit" aspectratio="f"/>
              <v:textbox inset="0mm,0mm,0mm,0mm" style="mso-fit-shape-to-text:t;">
                <w:txbxContent>
                  <w:p>
                    <w:pPr>
                      <w:pStyle w:val="3"/>
                    </w:pPr>
                    <w:r>
                      <w:rPr>
                        <w:rFonts w:hint="eastAsia" w:ascii="Times New Roman" w:hAnsi="Times New Roman" w:cs="Times New Roman"/>
                        <w:sz w:val="24"/>
                        <w:szCs w:val="40"/>
                      </w:rPr>
                      <w:fldChar w:fldCharType="begin"/>
                    </w:r>
                    <w:r>
                      <w:rPr>
                        <w:rFonts w:hint="eastAsia" w:ascii="Times New Roman" w:hAnsi="Times New Roman" w:cs="Times New Roman"/>
                        <w:sz w:val="24"/>
                        <w:szCs w:val="40"/>
                      </w:rPr>
                      <w:instrText xml:space="preserve"> PAGE  \* MERGEFORMAT </w:instrText>
                    </w:r>
                    <w:r>
                      <w:rPr>
                        <w:rFonts w:hint="eastAsia" w:ascii="Times New Roman" w:hAnsi="Times New Roman" w:cs="Times New Roman"/>
                        <w:sz w:val="24"/>
                        <w:szCs w:val="40"/>
                      </w:rPr>
                      <w:fldChar w:fldCharType="separate"/>
                    </w:r>
                    <w:r>
                      <w:rPr>
                        <w:rFonts w:ascii="Times New Roman" w:hAnsi="Times New Roman" w:cs="Times New Roman"/>
                        <w:sz w:val="24"/>
                        <w:szCs w:val="40"/>
                      </w:rPr>
                      <w:t>- 1 -</w:t>
                    </w:r>
                    <w:r>
                      <w:rPr>
                        <w:rFonts w:hint="eastAsia" w:ascii="Times New Roman" w:hAnsi="Times New Roman" w:cs="Times New Roman"/>
                        <w:sz w:val="24"/>
                        <w:szCs w:val="40"/>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RhZTcxZDM3YTU1ZGI0N2U1ZWM3NGE5Yjc0OWQwYmIifQ=="/>
  </w:docVars>
  <w:rsids>
    <w:rsidRoot w:val="0EE43988"/>
    <w:rsid w:val="00552539"/>
    <w:rsid w:val="00C8793B"/>
    <w:rsid w:val="00F45F2D"/>
    <w:rsid w:val="0C43141A"/>
    <w:rsid w:val="0EE43988"/>
    <w:rsid w:val="11851B4A"/>
    <w:rsid w:val="2E38531F"/>
    <w:rsid w:val="33AE78F7"/>
    <w:rsid w:val="44777FBE"/>
    <w:rsid w:val="4CCA79D1"/>
    <w:rsid w:val="4F537CF4"/>
    <w:rsid w:val="5B673747"/>
    <w:rsid w:val="67D6734A"/>
    <w:rsid w:val="7BF71854"/>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7"/>
    <w:qFormat/>
    <w:uiPriority w:val="0"/>
    <w:rPr>
      <w:rFonts w:ascii="宋体" w:eastAsia="宋体"/>
      <w:sz w:val="18"/>
      <w:szCs w:val="18"/>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customStyle="1" w:styleId="7">
    <w:name w:val="批注框文本字符"/>
    <w:basedOn w:val="6"/>
    <w:link w:val="2"/>
    <w:qFormat/>
    <w:uiPriority w:val="0"/>
    <w:rPr>
      <w:rFonts w:ascii="宋体" w:hAnsiTheme="minorHAnsi" w:cstheme="minorBidi"/>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2941</Words>
  <Characters>3025</Characters>
  <Lines>22</Lines>
  <Paragraphs>6</Paragraphs>
  <TotalTime>18</TotalTime>
  <ScaleCrop>false</ScaleCrop>
  <LinksUpToDate>false</LinksUpToDate>
  <CharactersWithSpaces>3041</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2022-08-02T17:30:00Z</dcterms:created>
  <dc:creator>Administrator</dc:creator>
  <cp:lastModifiedBy>55083</cp:lastModifiedBy>
  <dcterms:modified xsi:type="dcterms:W3CDTF">2023-07-19T08:59:14Z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790AC8CD1F3940728EC7936C229E083E_12</vt:lpwstr>
  </property>
</Properties>
</file>