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420" w:firstLineChars="0"/>
        <w:jc w:val="center"/>
        <w:rPr>
          <w:rFonts w:hint="eastAsia" w:ascii="方正小标宋简体" w:hAnsi="方正小标宋简体" w:eastAsia="方正小标宋简体" w:cs="方正小标宋简体"/>
          <w:sz w:val="44"/>
          <w:szCs w:val="44"/>
        </w:rPr>
      </w:pPr>
      <w:bookmarkStart w:id="0" w:name="_GoBack"/>
      <w:bookmarkEnd w:id="0"/>
    </w:p>
    <w:p>
      <w:pPr>
        <w:ind w:firstLine="420" w:firstLineChars="0"/>
        <w:jc w:val="center"/>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银川市工业和信息化局权责清单</w:t>
      </w:r>
    </w:p>
    <w:tbl>
      <w:tblPr>
        <w:tblStyle w:val="4"/>
        <w:tblW w:w="1516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28" w:type="dxa"/>
          <w:left w:w="28" w:type="dxa"/>
          <w:bottom w:w="28" w:type="dxa"/>
          <w:right w:w="28" w:type="dxa"/>
        </w:tblCellMar>
      </w:tblPr>
      <w:tblGrid>
        <w:gridCol w:w="334"/>
        <w:gridCol w:w="850"/>
        <w:gridCol w:w="692"/>
        <w:gridCol w:w="567"/>
        <w:gridCol w:w="1049"/>
        <w:gridCol w:w="1049"/>
        <w:gridCol w:w="947"/>
        <w:gridCol w:w="947"/>
        <w:gridCol w:w="2098"/>
        <w:gridCol w:w="1587"/>
        <w:gridCol w:w="2098"/>
        <w:gridCol w:w="850"/>
        <w:gridCol w:w="1587"/>
        <w:gridCol w:w="51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PrEx>
        <w:trPr>
          <w:trHeight w:val="283" w:hRule="atLeast"/>
          <w:tblHeader/>
          <w:jc w:val="center"/>
        </w:trPr>
        <w:tc>
          <w:tcPr>
            <w:tcW w:w="3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eastAsia" w:ascii="黑体" w:hAnsi="黑体" w:eastAsia="黑体" w:cs="黑体"/>
                <w:b w:val="0"/>
                <w:bCs/>
                <w:i w:val="0"/>
                <w:color w:val="000000" w:themeColor="text1"/>
                <w:sz w:val="18"/>
                <w:szCs w:val="18"/>
                <w:u w:val="none"/>
                <w14:textFill>
                  <w14:solidFill>
                    <w14:schemeClr w14:val="tx1"/>
                  </w14:solidFill>
                </w14:textFill>
              </w:rPr>
            </w:pPr>
            <w:r>
              <w:rPr>
                <w:rFonts w:hint="eastAsia" w:ascii="黑体" w:hAnsi="黑体" w:eastAsia="黑体" w:cs="黑体"/>
                <w:b w:val="0"/>
                <w:bCs/>
                <w:i w:val="0"/>
                <w:color w:val="000000" w:themeColor="text1"/>
                <w:kern w:val="0"/>
                <w:sz w:val="18"/>
                <w:szCs w:val="18"/>
                <w:u w:val="none"/>
                <w:lang w:val="en-US" w:eastAsia="zh-CN" w:bidi="ar"/>
                <w14:textFill>
                  <w14:solidFill>
                    <w14:schemeClr w14:val="tx1"/>
                  </w14:solidFill>
                </w14:textFill>
              </w:rPr>
              <w:t>序号</w:t>
            </w:r>
          </w:p>
        </w:tc>
        <w:tc>
          <w:tcPr>
            <w:tcW w:w="850"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eastAsia" w:ascii="黑体" w:hAnsi="黑体" w:eastAsia="黑体" w:cs="黑体"/>
                <w:b w:val="0"/>
                <w:bCs/>
                <w:i w:val="0"/>
                <w:color w:val="000000" w:themeColor="text1"/>
                <w:sz w:val="18"/>
                <w:szCs w:val="18"/>
                <w:u w:val="none"/>
                <w14:textFill>
                  <w14:solidFill>
                    <w14:schemeClr w14:val="tx1"/>
                  </w14:solidFill>
                </w14:textFill>
              </w:rPr>
            </w:pPr>
            <w:r>
              <w:rPr>
                <w:rFonts w:hint="eastAsia" w:ascii="黑体" w:hAnsi="黑体" w:eastAsia="黑体" w:cs="黑体"/>
                <w:b w:val="0"/>
                <w:bCs/>
                <w:i w:val="0"/>
                <w:color w:val="000000" w:themeColor="text1"/>
                <w:kern w:val="0"/>
                <w:sz w:val="18"/>
                <w:szCs w:val="18"/>
                <w:u w:val="none"/>
                <w:lang w:val="en-US" w:eastAsia="zh-CN" w:bidi="ar"/>
                <w14:textFill>
                  <w14:solidFill>
                    <w14:schemeClr w14:val="tx1"/>
                  </w14:solidFill>
                </w14:textFill>
              </w:rPr>
              <w:t>事项名称</w:t>
            </w:r>
          </w:p>
        </w:tc>
        <w:tc>
          <w:tcPr>
            <w:tcW w:w="692"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eastAsia" w:ascii="黑体" w:hAnsi="黑体" w:eastAsia="黑体" w:cs="黑体"/>
                <w:b w:val="0"/>
                <w:bCs/>
                <w:i w:val="0"/>
                <w:color w:val="000000" w:themeColor="text1"/>
                <w:sz w:val="18"/>
                <w:szCs w:val="18"/>
                <w:u w:val="none"/>
                <w14:textFill>
                  <w14:solidFill>
                    <w14:schemeClr w14:val="tx1"/>
                  </w14:solidFill>
                </w14:textFill>
              </w:rPr>
            </w:pPr>
            <w:r>
              <w:rPr>
                <w:rFonts w:hint="eastAsia" w:ascii="黑体" w:hAnsi="黑体" w:eastAsia="黑体" w:cs="黑体"/>
                <w:b w:val="0"/>
                <w:bCs/>
                <w:i w:val="0"/>
                <w:color w:val="000000" w:themeColor="text1"/>
                <w:kern w:val="0"/>
                <w:sz w:val="18"/>
                <w:szCs w:val="18"/>
                <w:u w:val="none"/>
                <w:lang w:val="en-US" w:eastAsia="zh-CN" w:bidi="ar"/>
                <w14:textFill>
                  <w14:solidFill>
                    <w14:schemeClr w14:val="tx1"/>
                  </w14:solidFill>
                </w14:textFill>
              </w:rPr>
              <w:t>子项名称</w:t>
            </w:r>
            <w:r>
              <w:rPr>
                <w:rFonts w:hint="default" w:ascii="Times New Roman" w:hAnsi="Times New Roman" w:eastAsia="黑体" w:cs="Times New Roman"/>
                <w:b w:val="0"/>
                <w:bCs/>
                <w:i w:val="0"/>
                <w:color w:val="000000" w:themeColor="text1"/>
                <w:spacing w:val="0"/>
                <w:kern w:val="0"/>
                <w:sz w:val="15"/>
                <w:szCs w:val="15"/>
                <w:u w:val="none"/>
                <w:lang w:val="en-US" w:eastAsia="zh-CN" w:bidi="ar"/>
                <w14:textFill>
                  <w14:solidFill>
                    <w14:schemeClr w14:val="tx1"/>
                  </w14:solidFill>
                </w14:textFill>
              </w:rPr>
              <w:t>（无子项时无需填写）</w:t>
            </w:r>
          </w:p>
        </w:tc>
        <w:tc>
          <w:tcPr>
            <w:tcW w:w="567"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eastAsia" w:ascii="黑体" w:hAnsi="黑体" w:eastAsia="黑体" w:cs="黑体"/>
                <w:b w:val="0"/>
                <w:bCs/>
                <w:i w:val="0"/>
                <w:color w:val="000000" w:themeColor="text1"/>
                <w:sz w:val="18"/>
                <w:szCs w:val="18"/>
                <w:u w:val="none"/>
                <w14:textFill>
                  <w14:solidFill>
                    <w14:schemeClr w14:val="tx1"/>
                  </w14:solidFill>
                </w14:textFill>
              </w:rPr>
            </w:pPr>
            <w:r>
              <w:rPr>
                <w:rFonts w:hint="eastAsia" w:ascii="黑体" w:hAnsi="黑体" w:eastAsia="黑体" w:cs="黑体"/>
                <w:b w:val="0"/>
                <w:bCs/>
                <w:i w:val="0"/>
                <w:color w:val="000000" w:themeColor="text1"/>
                <w:kern w:val="0"/>
                <w:sz w:val="18"/>
                <w:szCs w:val="18"/>
                <w:u w:val="none"/>
                <w:lang w:val="en-US" w:eastAsia="zh-CN" w:bidi="ar"/>
                <w14:textFill>
                  <w14:solidFill>
                    <w14:schemeClr w14:val="tx1"/>
                  </w14:solidFill>
                </w14:textFill>
              </w:rPr>
              <w:t>权力类型</w:t>
            </w:r>
          </w:p>
        </w:tc>
        <w:tc>
          <w:tcPr>
            <w:tcW w:w="1049"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eastAsia" w:ascii="黑体" w:hAnsi="黑体" w:eastAsia="黑体" w:cs="黑体"/>
                <w:b w:val="0"/>
                <w:bCs/>
                <w:i w:val="0"/>
                <w:color w:val="000000" w:themeColor="text1"/>
                <w:kern w:val="0"/>
                <w:sz w:val="18"/>
                <w:szCs w:val="18"/>
                <w:u w:val="none"/>
                <w:lang w:val="en-US" w:eastAsia="zh-CN" w:bidi="ar"/>
                <w14:textFill>
                  <w14:solidFill>
                    <w14:schemeClr w14:val="tx1"/>
                  </w14:solidFill>
                </w14:textFill>
              </w:rPr>
            </w:pPr>
            <w:r>
              <w:rPr>
                <w:rFonts w:hint="eastAsia" w:ascii="黑体" w:hAnsi="黑体" w:eastAsia="黑体" w:cs="黑体"/>
                <w:b w:val="0"/>
                <w:bCs/>
                <w:i w:val="0"/>
                <w:color w:val="000000" w:themeColor="text1"/>
                <w:kern w:val="0"/>
                <w:sz w:val="18"/>
                <w:szCs w:val="18"/>
                <w:u w:val="none"/>
                <w:lang w:val="en-US" w:eastAsia="zh-CN" w:bidi="ar"/>
                <w14:textFill>
                  <w14:solidFill>
                    <w14:schemeClr w14:val="tx1"/>
                  </w14:solidFill>
                </w14:textFill>
              </w:rPr>
              <w:t>地方权力</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eastAsia" w:ascii="黑体" w:hAnsi="黑体" w:eastAsia="黑体" w:cs="黑体"/>
                <w:b w:val="0"/>
                <w:bCs/>
                <w:i w:val="0"/>
                <w:color w:val="000000" w:themeColor="text1"/>
                <w:sz w:val="18"/>
                <w:szCs w:val="18"/>
                <w:u w:val="none"/>
                <w14:textFill>
                  <w14:solidFill>
                    <w14:schemeClr w14:val="tx1"/>
                  </w14:solidFill>
                </w14:textFill>
              </w:rPr>
            </w:pPr>
            <w:r>
              <w:rPr>
                <w:rFonts w:hint="eastAsia" w:ascii="黑体" w:hAnsi="黑体" w:eastAsia="黑体" w:cs="黑体"/>
                <w:b w:val="0"/>
                <w:bCs/>
                <w:i w:val="0"/>
                <w:color w:val="000000" w:themeColor="text1"/>
                <w:kern w:val="0"/>
                <w:sz w:val="18"/>
                <w:szCs w:val="18"/>
                <w:u w:val="none"/>
                <w:lang w:val="en-US" w:eastAsia="zh-CN" w:bidi="ar"/>
                <w14:textFill>
                  <w14:solidFill>
                    <w14:schemeClr w14:val="tx1"/>
                  </w14:solidFill>
                </w14:textFill>
              </w:rPr>
              <w:t>编码</w:t>
            </w:r>
          </w:p>
        </w:tc>
        <w:tc>
          <w:tcPr>
            <w:tcW w:w="1049"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eastAsia" w:ascii="黑体" w:hAnsi="黑体" w:eastAsia="黑体" w:cs="黑体"/>
                <w:b w:val="0"/>
                <w:bCs/>
                <w:i w:val="0"/>
                <w:color w:val="000000" w:themeColor="text1"/>
                <w:kern w:val="0"/>
                <w:sz w:val="18"/>
                <w:szCs w:val="18"/>
                <w:u w:val="none"/>
                <w:lang w:val="en-US" w:eastAsia="zh-CN" w:bidi="ar"/>
                <w14:textFill>
                  <w14:solidFill>
                    <w14:schemeClr w14:val="tx1"/>
                  </w14:solidFill>
                </w14:textFill>
              </w:rPr>
            </w:pPr>
            <w:r>
              <w:rPr>
                <w:rFonts w:hint="eastAsia" w:ascii="黑体" w:hAnsi="黑体" w:eastAsia="黑体" w:cs="黑体"/>
                <w:b w:val="0"/>
                <w:bCs/>
                <w:i w:val="0"/>
                <w:color w:val="000000" w:themeColor="text1"/>
                <w:kern w:val="0"/>
                <w:sz w:val="18"/>
                <w:szCs w:val="18"/>
                <w:u w:val="none"/>
                <w:lang w:val="en-US" w:eastAsia="zh-CN" w:bidi="ar"/>
                <w14:textFill>
                  <w14:solidFill>
                    <w14:schemeClr w14:val="tx1"/>
                  </w14:solidFill>
                </w14:textFill>
              </w:rPr>
              <w:t>子项地方</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eastAsia" w:ascii="黑体" w:hAnsi="黑体" w:eastAsia="黑体" w:cs="黑体"/>
                <w:b w:val="0"/>
                <w:bCs/>
                <w:i w:val="0"/>
                <w:color w:val="000000" w:themeColor="text1"/>
                <w:kern w:val="0"/>
                <w:sz w:val="18"/>
                <w:szCs w:val="18"/>
                <w:u w:val="none"/>
                <w:lang w:val="en-US" w:eastAsia="zh-CN" w:bidi="ar"/>
                <w14:textFill>
                  <w14:solidFill>
                    <w14:schemeClr w14:val="tx1"/>
                  </w14:solidFill>
                </w14:textFill>
              </w:rPr>
            </w:pPr>
            <w:r>
              <w:rPr>
                <w:rFonts w:hint="eastAsia" w:ascii="黑体" w:hAnsi="黑体" w:eastAsia="黑体" w:cs="黑体"/>
                <w:b w:val="0"/>
                <w:bCs/>
                <w:i w:val="0"/>
                <w:color w:val="000000" w:themeColor="text1"/>
                <w:kern w:val="0"/>
                <w:sz w:val="18"/>
                <w:szCs w:val="18"/>
                <w:u w:val="none"/>
                <w:lang w:val="en-US" w:eastAsia="zh-CN" w:bidi="ar"/>
                <w14:textFill>
                  <w14:solidFill>
                    <w14:schemeClr w14:val="tx1"/>
                  </w14:solidFill>
                </w14:textFill>
              </w:rPr>
              <w:t>权力编码</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黑体" w:cs="Times New Roman"/>
                <w:b w:val="0"/>
                <w:bCs/>
                <w:i w:val="0"/>
                <w:color w:val="000000" w:themeColor="text1"/>
                <w:spacing w:val="0"/>
                <w:kern w:val="0"/>
                <w:sz w:val="15"/>
                <w:szCs w:val="15"/>
                <w:u w:val="none"/>
                <w:lang w:val="en-US" w:eastAsia="zh-CN" w:bidi="ar"/>
                <w14:textFill>
                  <w14:solidFill>
                    <w14:schemeClr w14:val="tx1"/>
                  </w14:solidFill>
                </w14:textFill>
              </w:rPr>
            </w:pPr>
            <w:r>
              <w:rPr>
                <w:rFonts w:hint="default" w:ascii="Times New Roman" w:hAnsi="Times New Roman" w:eastAsia="黑体" w:cs="Times New Roman"/>
                <w:b w:val="0"/>
                <w:bCs/>
                <w:i w:val="0"/>
                <w:color w:val="000000" w:themeColor="text1"/>
                <w:spacing w:val="0"/>
                <w:kern w:val="0"/>
                <w:sz w:val="15"/>
                <w:szCs w:val="15"/>
                <w:u w:val="none"/>
                <w:lang w:val="en-US" w:eastAsia="zh-CN" w:bidi="ar"/>
                <w14:textFill>
                  <w14:solidFill>
                    <w14:schemeClr w14:val="tx1"/>
                  </w14:solidFill>
                </w14:textFill>
              </w:rPr>
              <w:t>（无子项时</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eastAsia" w:ascii="黑体" w:hAnsi="黑体" w:eastAsia="黑体" w:cs="黑体"/>
                <w:b w:val="0"/>
                <w:bCs/>
                <w:i w:val="0"/>
                <w:color w:val="000000" w:themeColor="text1"/>
                <w:sz w:val="18"/>
                <w:szCs w:val="18"/>
                <w:u w:val="none"/>
                <w14:textFill>
                  <w14:solidFill>
                    <w14:schemeClr w14:val="tx1"/>
                  </w14:solidFill>
                </w14:textFill>
              </w:rPr>
            </w:pPr>
            <w:r>
              <w:rPr>
                <w:rFonts w:hint="default" w:ascii="Times New Roman" w:hAnsi="Times New Roman" w:eastAsia="黑体" w:cs="Times New Roman"/>
                <w:b w:val="0"/>
                <w:bCs/>
                <w:i w:val="0"/>
                <w:color w:val="000000" w:themeColor="text1"/>
                <w:spacing w:val="0"/>
                <w:kern w:val="0"/>
                <w:sz w:val="15"/>
                <w:szCs w:val="15"/>
                <w:u w:val="none"/>
                <w:lang w:val="en-US" w:eastAsia="zh-CN" w:bidi="ar"/>
                <w14:textFill>
                  <w14:solidFill>
                    <w14:schemeClr w14:val="tx1"/>
                  </w14:solidFill>
                </w14:textFill>
              </w:rPr>
              <w:t>无需填写）</w:t>
            </w:r>
          </w:p>
        </w:tc>
        <w:tc>
          <w:tcPr>
            <w:tcW w:w="947"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eastAsia" w:ascii="黑体" w:hAnsi="黑体" w:eastAsia="黑体" w:cs="黑体"/>
                <w:b w:val="0"/>
                <w:bCs/>
                <w:i w:val="0"/>
                <w:color w:val="000000" w:themeColor="text1"/>
                <w:sz w:val="18"/>
                <w:szCs w:val="18"/>
                <w:u w:val="none"/>
                <w14:textFill>
                  <w14:solidFill>
                    <w14:schemeClr w14:val="tx1"/>
                  </w14:solidFill>
                </w14:textFill>
              </w:rPr>
            </w:pPr>
            <w:r>
              <w:rPr>
                <w:rFonts w:hint="eastAsia" w:ascii="黑体" w:hAnsi="黑体" w:eastAsia="黑体" w:cs="黑体"/>
                <w:b w:val="0"/>
                <w:bCs/>
                <w:i w:val="0"/>
                <w:color w:val="000000" w:themeColor="text1"/>
                <w:kern w:val="0"/>
                <w:sz w:val="18"/>
                <w:szCs w:val="18"/>
                <w:u w:val="none"/>
                <w:lang w:val="en-US" w:eastAsia="zh-CN" w:bidi="ar"/>
                <w14:textFill>
                  <w14:solidFill>
                    <w14:schemeClr w14:val="tx1"/>
                  </w14:solidFill>
                </w14:textFill>
              </w:rPr>
              <w:t>行使主体</w:t>
            </w:r>
            <w:r>
              <w:rPr>
                <w:rFonts w:hint="default" w:ascii="Times New Roman" w:hAnsi="Times New Roman" w:eastAsia="黑体" w:cs="Times New Roman"/>
                <w:b w:val="0"/>
                <w:bCs/>
                <w:i w:val="0"/>
                <w:color w:val="000000" w:themeColor="text1"/>
                <w:spacing w:val="0"/>
                <w:kern w:val="0"/>
                <w:sz w:val="15"/>
                <w:szCs w:val="15"/>
                <w:u w:val="none"/>
                <w:lang w:val="en-US" w:eastAsia="zh-CN" w:bidi="ar"/>
                <w14:textFill>
                  <w14:solidFill>
                    <w14:schemeClr w14:val="tx1"/>
                  </w14:solidFill>
                </w14:textFill>
              </w:rPr>
              <w:t>（所属部门）</w:t>
            </w:r>
          </w:p>
        </w:tc>
        <w:tc>
          <w:tcPr>
            <w:tcW w:w="947"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eastAsia" w:ascii="黑体" w:hAnsi="黑体" w:eastAsia="黑体" w:cs="黑体"/>
                <w:b w:val="0"/>
                <w:bCs/>
                <w:i w:val="0"/>
                <w:color w:val="000000" w:themeColor="text1"/>
                <w:sz w:val="18"/>
                <w:szCs w:val="18"/>
                <w:u w:val="none"/>
                <w14:textFill>
                  <w14:solidFill>
                    <w14:schemeClr w14:val="tx1"/>
                  </w14:solidFill>
                </w14:textFill>
              </w:rPr>
            </w:pPr>
            <w:r>
              <w:rPr>
                <w:rFonts w:hint="eastAsia" w:ascii="黑体" w:hAnsi="黑体" w:eastAsia="黑体" w:cs="黑体"/>
                <w:b w:val="0"/>
                <w:bCs/>
                <w:i w:val="0"/>
                <w:color w:val="000000" w:themeColor="text1"/>
                <w:kern w:val="0"/>
                <w:sz w:val="18"/>
                <w:szCs w:val="18"/>
                <w:u w:val="none"/>
                <w:lang w:val="en-US" w:eastAsia="zh-CN" w:bidi="ar"/>
                <w14:textFill>
                  <w14:solidFill>
                    <w14:schemeClr w14:val="tx1"/>
                  </w14:solidFill>
                </w14:textFill>
              </w:rPr>
              <w:t>承办机构</w:t>
            </w:r>
            <w:r>
              <w:rPr>
                <w:rFonts w:hint="default" w:ascii="Times New Roman" w:hAnsi="Times New Roman" w:eastAsia="黑体" w:cs="Times New Roman"/>
                <w:b w:val="0"/>
                <w:bCs/>
                <w:i w:val="0"/>
                <w:color w:val="000000" w:themeColor="text1"/>
                <w:spacing w:val="0"/>
                <w:kern w:val="0"/>
                <w:sz w:val="15"/>
                <w:szCs w:val="15"/>
                <w:u w:val="none"/>
                <w:lang w:val="en-US" w:eastAsia="zh-CN" w:bidi="ar"/>
                <w14:textFill>
                  <w14:solidFill>
                    <w14:schemeClr w14:val="tx1"/>
                  </w14:solidFill>
                </w14:textFill>
              </w:rPr>
              <w:t>（实施主体）</w:t>
            </w:r>
          </w:p>
        </w:tc>
        <w:tc>
          <w:tcPr>
            <w:tcW w:w="209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eastAsia" w:ascii="黑体" w:hAnsi="黑体" w:eastAsia="黑体" w:cs="黑体"/>
                <w:b w:val="0"/>
                <w:bCs/>
                <w:i w:val="0"/>
                <w:color w:val="000000" w:themeColor="text1"/>
                <w:sz w:val="18"/>
                <w:szCs w:val="18"/>
                <w:u w:val="none"/>
                <w14:textFill>
                  <w14:solidFill>
                    <w14:schemeClr w14:val="tx1"/>
                  </w14:solidFill>
                </w14:textFill>
              </w:rPr>
            </w:pPr>
            <w:r>
              <w:rPr>
                <w:rFonts w:hint="eastAsia" w:ascii="黑体" w:hAnsi="黑体" w:eastAsia="黑体" w:cs="黑体"/>
                <w:b w:val="0"/>
                <w:bCs/>
                <w:i w:val="0"/>
                <w:color w:val="000000" w:themeColor="text1"/>
                <w:kern w:val="0"/>
                <w:sz w:val="18"/>
                <w:szCs w:val="18"/>
                <w:u w:val="none"/>
                <w:lang w:val="en-US" w:eastAsia="zh-CN" w:bidi="ar"/>
                <w14:textFill>
                  <w14:solidFill>
                    <w14:schemeClr w14:val="tx1"/>
                  </w14:solidFill>
                </w14:textFill>
              </w:rPr>
              <w:t>实施依据</w:t>
            </w:r>
          </w:p>
        </w:tc>
        <w:tc>
          <w:tcPr>
            <w:tcW w:w="1587"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eastAsia" w:ascii="黑体" w:hAnsi="黑体" w:eastAsia="黑体" w:cs="黑体"/>
                <w:b w:val="0"/>
                <w:bCs/>
                <w:i w:val="0"/>
                <w:color w:val="000000" w:themeColor="text1"/>
                <w:sz w:val="18"/>
                <w:szCs w:val="18"/>
                <w:u w:val="none"/>
                <w14:textFill>
                  <w14:solidFill>
                    <w14:schemeClr w14:val="tx1"/>
                  </w14:solidFill>
                </w14:textFill>
              </w:rPr>
            </w:pPr>
            <w:r>
              <w:rPr>
                <w:rFonts w:hint="eastAsia" w:ascii="黑体" w:hAnsi="黑体" w:eastAsia="黑体" w:cs="黑体"/>
                <w:b w:val="0"/>
                <w:bCs/>
                <w:i w:val="0"/>
                <w:color w:val="000000" w:themeColor="text1"/>
                <w:kern w:val="0"/>
                <w:sz w:val="18"/>
                <w:szCs w:val="18"/>
                <w:u w:val="none"/>
                <w:lang w:val="en-US" w:eastAsia="zh-CN" w:bidi="ar"/>
                <w14:textFill>
                  <w14:solidFill>
                    <w14:schemeClr w14:val="tx1"/>
                  </w14:solidFill>
                </w14:textFill>
              </w:rPr>
              <w:t>责任事项内容</w:t>
            </w:r>
          </w:p>
        </w:tc>
        <w:tc>
          <w:tcPr>
            <w:tcW w:w="209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eastAsia" w:ascii="黑体" w:hAnsi="黑体" w:eastAsia="黑体" w:cs="黑体"/>
                <w:b w:val="0"/>
                <w:bCs/>
                <w:i w:val="0"/>
                <w:color w:val="000000" w:themeColor="text1"/>
                <w:sz w:val="18"/>
                <w:szCs w:val="18"/>
                <w:u w:val="none"/>
                <w14:textFill>
                  <w14:solidFill>
                    <w14:schemeClr w14:val="tx1"/>
                  </w14:solidFill>
                </w14:textFill>
              </w:rPr>
            </w:pPr>
            <w:r>
              <w:rPr>
                <w:rFonts w:hint="eastAsia" w:ascii="黑体" w:hAnsi="黑体" w:eastAsia="黑体" w:cs="黑体"/>
                <w:b w:val="0"/>
                <w:bCs/>
                <w:i w:val="0"/>
                <w:color w:val="000000" w:themeColor="text1"/>
                <w:kern w:val="0"/>
                <w:sz w:val="18"/>
                <w:szCs w:val="18"/>
                <w:u w:val="none"/>
                <w:lang w:val="en-US" w:eastAsia="zh-CN" w:bidi="ar"/>
                <w14:textFill>
                  <w14:solidFill>
                    <w14:schemeClr w14:val="tx1"/>
                  </w14:solidFill>
                </w14:textFill>
              </w:rPr>
              <w:t>责任事项依据</w:t>
            </w:r>
          </w:p>
        </w:tc>
        <w:tc>
          <w:tcPr>
            <w:tcW w:w="850"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eastAsia" w:ascii="黑体" w:hAnsi="黑体" w:eastAsia="黑体" w:cs="黑体"/>
                <w:b w:val="0"/>
                <w:bCs/>
                <w:i w:val="0"/>
                <w:color w:val="000000" w:themeColor="text1"/>
                <w:sz w:val="18"/>
                <w:szCs w:val="18"/>
                <w:u w:val="none"/>
                <w14:textFill>
                  <w14:solidFill>
                    <w14:schemeClr w14:val="tx1"/>
                  </w14:solidFill>
                </w14:textFill>
              </w:rPr>
            </w:pPr>
            <w:r>
              <w:rPr>
                <w:rFonts w:hint="eastAsia" w:ascii="黑体" w:hAnsi="黑体" w:eastAsia="黑体" w:cs="黑体"/>
                <w:b w:val="0"/>
                <w:bCs/>
                <w:i w:val="0"/>
                <w:color w:val="000000" w:themeColor="text1"/>
                <w:kern w:val="0"/>
                <w:sz w:val="18"/>
                <w:szCs w:val="18"/>
                <w:u w:val="none"/>
                <w:lang w:val="en-US" w:eastAsia="zh-CN" w:bidi="ar"/>
                <w14:textFill>
                  <w14:solidFill>
                    <w14:schemeClr w14:val="tx1"/>
                  </w14:solidFill>
                </w14:textFill>
              </w:rPr>
              <w:t>追责对象范围</w:t>
            </w:r>
          </w:p>
        </w:tc>
        <w:tc>
          <w:tcPr>
            <w:tcW w:w="1587"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eastAsia" w:ascii="黑体" w:hAnsi="黑体" w:eastAsia="黑体" w:cs="黑体"/>
                <w:b w:val="0"/>
                <w:bCs/>
                <w:i w:val="0"/>
                <w:color w:val="000000" w:themeColor="text1"/>
                <w:sz w:val="18"/>
                <w:szCs w:val="18"/>
                <w:u w:val="none"/>
                <w14:textFill>
                  <w14:solidFill>
                    <w14:schemeClr w14:val="tx1"/>
                  </w14:solidFill>
                </w14:textFill>
              </w:rPr>
            </w:pPr>
            <w:r>
              <w:rPr>
                <w:rFonts w:hint="eastAsia" w:ascii="黑体" w:hAnsi="黑体" w:eastAsia="黑体" w:cs="黑体"/>
                <w:b w:val="0"/>
                <w:bCs/>
                <w:i w:val="0"/>
                <w:color w:val="000000" w:themeColor="text1"/>
                <w:kern w:val="0"/>
                <w:sz w:val="18"/>
                <w:szCs w:val="18"/>
                <w:u w:val="none"/>
                <w:lang w:val="en-US" w:eastAsia="zh-CN" w:bidi="ar"/>
                <w14:textFill>
                  <w14:solidFill>
                    <w14:schemeClr w14:val="tx1"/>
                  </w14:solidFill>
                </w14:textFill>
              </w:rPr>
              <w:t>追责情形</w:t>
            </w:r>
          </w:p>
        </w:tc>
        <w:tc>
          <w:tcPr>
            <w:tcW w:w="510"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eastAsia" w:ascii="黑体" w:hAnsi="黑体" w:eastAsia="黑体" w:cs="黑体"/>
                <w:b w:val="0"/>
                <w:bCs/>
                <w:i w:val="0"/>
                <w:color w:val="000000" w:themeColor="text1"/>
                <w:sz w:val="18"/>
                <w:szCs w:val="18"/>
                <w:u w:val="none"/>
                <w14:textFill>
                  <w14:solidFill>
                    <w14:schemeClr w14:val="tx1"/>
                  </w14:solidFill>
                </w14:textFill>
              </w:rPr>
            </w:pPr>
            <w:r>
              <w:rPr>
                <w:rFonts w:hint="eastAsia" w:ascii="黑体" w:hAnsi="黑体" w:eastAsia="黑体" w:cs="黑体"/>
                <w:b w:val="0"/>
                <w:bCs/>
                <w:i w:val="0"/>
                <w:color w:val="000000" w:themeColor="text1"/>
                <w:kern w:val="0"/>
                <w:sz w:val="18"/>
                <w:szCs w:val="18"/>
                <w:u w:val="none"/>
                <w:lang w:val="en-US" w:eastAsia="zh-CN" w:bidi="ar"/>
                <w14:textFill>
                  <w14:solidFill>
                    <w14:schemeClr w14:val="tx1"/>
                  </w14:solidFill>
                </w14:textFill>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28" w:type="dxa"/>
            <w:left w:w="28" w:type="dxa"/>
            <w:bottom w:w="28" w:type="dxa"/>
            <w:right w:w="28" w:type="dxa"/>
          </w:tblCellMar>
        </w:tblPrEx>
        <w:trPr>
          <w:trHeight w:val="283" w:hRule="atLeast"/>
          <w:jc w:val="center"/>
        </w:trPr>
        <w:tc>
          <w:tcPr>
            <w:tcW w:w="3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1</w:t>
            </w:r>
          </w:p>
        </w:tc>
        <w:tc>
          <w:tcPr>
            <w:tcW w:w="850"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节能监督检查</w:t>
            </w:r>
          </w:p>
        </w:tc>
        <w:tc>
          <w:tcPr>
            <w:tcW w:w="692"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both"/>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p>
        </w:tc>
        <w:tc>
          <w:tcPr>
            <w:tcW w:w="567"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行政检查</w:t>
            </w:r>
          </w:p>
        </w:tc>
        <w:tc>
          <w:tcPr>
            <w:tcW w:w="1049"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0602002000</w:t>
            </w:r>
          </w:p>
        </w:tc>
        <w:tc>
          <w:tcPr>
            <w:tcW w:w="1049"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p>
        </w:tc>
        <w:tc>
          <w:tcPr>
            <w:tcW w:w="947"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银川市工业和信息化局</w:t>
            </w:r>
          </w:p>
        </w:tc>
        <w:tc>
          <w:tcPr>
            <w:tcW w:w="947"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银川市工业和信息化局</w:t>
            </w:r>
          </w:p>
        </w:tc>
        <w:tc>
          <w:tcPr>
            <w:tcW w:w="209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【法律】《中华人民共和国节约能源法》（2018年修正）</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第十二条　县级以上人民政府管理节能工作的部门和有关部门应当在各自的职责范围内，加强对节能法律、法规和节能标准执行情况的监督检查，依法查处违法用能行为。</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【地方性法规】《宁夏回族自治区实施〈中华人民共和国节约能源法〉办法》（</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2019年修正</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第四条  各级人民政府应当加强对节能工作的领导、协调、监督和检查，推动节能工作。</w:t>
            </w:r>
          </w:p>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自治区人民政府发展和改革委员会(以下简称自治区节能行政主管部门)负责本行政区域内的节能监督管理工作。</w:t>
            </w:r>
          </w:p>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设区的市和县（市、区）人民政府节能行政主管部门负责本行政区域内节能监督管理工作。</w:t>
            </w:r>
          </w:p>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p>
        </w:tc>
        <w:tc>
          <w:tcPr>
            <w:tcW w:w="1587"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1.检查责任：根据年度检查计划，对重点用能单位节能法律、法规和节能标准执行情况的监督检查。</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2.处理责任：在检查中，发现存在违反节能法律、法规和节能标准的行为，应当下达《限期整改通知书》，责令限期改正或依法进行处理。</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3.复查责任：依据责令限期改正期限或当事人的复查申请，对违法行为进行复查。</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4.归档责任：在监督检查后，对有关检查的工作内容进行归档。</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5.其他法律法规规章文件规定应履行的责任。</w:t>
            </w:r>
          </w:p>
        </w:tc>
        <w:tc>
          <w:tcPr>
            <w:tcW w:w="209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1-1.《中华人民共和国节约能源法》（2018年修正）</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第十二条 县级以上人民政府管理节能工作的部门和有关部门应当在各自的职责范围内，加强对节能法律、法规和节能标准执行情况的监督检查，依法查处违法用能行为。</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第八十六条 国家工作人员在节能管理工作中滥用职权、玩忽职守、徇私舞弊，构成犯罪的，依法追究刑事责任；尚不构成犯罪的，依法给予处分。</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1-2.</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【地方性法规】《宁夏回族自治区实施〈中华人民共和国节约能源法〉办法》（</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2019年修正</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第四条  各级人民政府应当加强对节能工作的领导、协调、监督和检查，推动节能工作。</w:t>
            </w:r>
          </w:p>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自治区人民政府发展和改革委员会(以下简称自治区节能行政主管部门)负责本行政区域内的节能监督管理工作。</w:t>
            </w:r>
          </w:p>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设区的市和县（市、区）人民政府节能行政主管部门负责本行政区域内节能监督管理工作。</w:t>
            </w:r>
          </w:p>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第五十四条  国家工作人员在节能管理工作中滥用职权、玩忽职守、徇私舞弊，尚不构成犯罪的，依法给予处分；构成犯罪的，依法追究刑事责任。</w:t>
            </w:r>
          </w:p>
        </w:tc>
        <w:tc>
          <w:tcPr>
            <w:tcW w:w="850"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1.行政机关；</w:t>
            </w:r>
          </w:p>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eastAsia"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2.</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相关工作人员（检查人、处理人、复查人、归档人、法定代表人或分管领导）</w:t>
            </w:r>
          </w:p>
        </w:tc>
        <w:tc>
          <w:tcPr>
            <w:tcW w:w="1587"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《宁夏回族自治区行政责任追究办法》第十四条“行政机关及其工作人员在实施行政监督检查过程中有下列情形之一的，应当追究其行政责任：</w:t>
            </w:r>
          </w:p>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1.无法定依据实施检查的”；</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2.无具体理由、事项实施监督检查的”；</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3.推诿、拖延、拒绝履行监督检查职责的”；</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4.发现违法行为不依法制止、纠正的”；</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5.侵犯被检查对象合法权益的”；</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6.其他违法实施行政监督检查的情形”。</w:t>
            </w:r>
          </w:p>
        </w:tc>
        <w:tc>
          <w:tcPr>
            <w:tcW w:w="510"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both"/>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28" w:type="dxa"/>
            <w:left w:w="28" w:type="dxa"/>
            <w:bottom w:w="28" w:type="dxa"/>
            <w:right w:w="28" w:type="dxa"/>
          </w:tblCellMar>
        </w:tblPrEx>
        <w:trPr>
          <w:trHeight w:val="283" w:hRule="atLeast"/>
          <w:jc w:val="center"/>
        </w:trPr>
        <w:tc>
          <w:tcPr>
            <w:tcW w:w="3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2</w:t>
            </w:r>
          </w:p>
        </w:tc>
        <w:tc>
          <w:tcPr>
            <w:tcW w:w="850"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自治区级企业技术中心认定</w:t>
            </w:r>
          </w:p>
        </w:tc>
        <w:tc>
          <w:tcPr>
            <w:tcW w:w="692"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both"/>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p>
        </w:tc>
        <w:tc>
          <w:tcPr>
            <w:tcW w:w="567"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行政确认</w:t>
            </w:r>
          </w:p>
        </w:tc>
        <w:tc>
          <w:tcPr>
            <w:tcW w:w="1049"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0702002000</w:t>
            </w:r>
          </w:p>
        </w:tc>
        <w:tc>
          <w:tcPr>
            <w:tcW w:w="1049"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p>
        </w:tc>
        <w:tc>
          <w:tcPr>
            <w:tcW w:w="947"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银川市工业和信息化局</w:t>
            </w:r>
          </w:p>
        </w:tc>
        <w:tc>
          <w:tcPr>
            <w:tcW w:w="947"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银川市工业和信息化局</w:t>
            </w:r>
          </w:p>
        </w:tc>
        <w:tc>
          <w:tcPr>
            <w:tcW w:w="209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【部门规章】《国家企业技术中心认定管理办法》（2016年国家发展和改革委员会、科学技术部、财政部、海关总署、国家税务总局令第34号修订）</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第二十七条　各地方政府主管部门可参考本办法，结合本地实际，在职责范围内依法制定相应政策，支持企业技术中心建设。</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【规范性文件】《宁夏回族自治区企业技术中心认定管理办法》（宁经信规范发〔2018〕7号）</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第四条　自治区经济和信息化委、科技厅、财政厅、银川海关、宁夏区税务局负责指导协调自治区企业技术中心相关工作。自治区经济和信息化委牵头开展自治区企业技术中心的认定、运行评价和管理。各市工业和信息化局会同同级科技、财政、税务等管理部门，负责辖区内自治区企业技术中心的申报、日常管理等事项。</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第五条　自治区企业技术中心的认定，原则上每年进行一次，各市工业和信息化局根据自治区经济和信息化委通知要求报送申请材料。</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第七条　自治区企业技术中心认定程序：</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（二）企业自愿向所在的市级工业和信息化局提出书面申请，报送申请材料；</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三）各市工业和信息化局根据本办法及通知要求，对企业报送的申请材料进行审查，推荐符合条件的企业技术中心，并将推荐企业技术中心名单及其申请材料报送自治区经济和信息化委。申请材料主要包括企业技术中心申请报告（见附件1）、评价材料（见附件2）及必要的证明材料；</w:t>
            </w:r>
          </w:p>
        </w:tc>
        <w:tc>
          <w:tcPr>
            <w:tcW w:w="1587"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1.受理责任：公示依法应当公示的材料，一次性告知需要补正的材料，依法受理或者不予受理（不予受理应当告知理由）。</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2.审查责任：按照法定条件和程序对提交材料进行审查，并对报送材料真实性出具意见。</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3.决定责任：作出推荐决定，不予推荐的应当告知理由。</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4.其他法律法规规章文件规定应履行的责任。</w:t>
            </w:r>
          </w:p>
        </w:tc>
        <w:tc>
          <w:tcPr>
            <w:tcW w:w="209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1-1.《国家企业技术中心认定管理办法》（2016年国家发展和改革委员会、科学技术部、财政部、海关总署、国家税务总局令第 34号修订）</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第二十七条 各地方政府主管部门可参考本办法，结合本地实际，在职责范围内依法制定相应政策，支持企业技术中心建设。</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1-2.《宁夏回族自治区企业技术中心认定管理办法》（宁经信规范发〔2018〕7 号）</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第四条 自治区经济和信息化委、科技厅、财政厅、银川海关、宁夏区税务局负责指导协调自治区企业技术中心相关工作。自治区经济和信息化委牵头开展自治区企业技术中心的认定、运行评价和管理。各市工业和信息化局会同同级科技、财政、税务等管理部门，负责辖区内自治区企业技术中心的申报、日常管理等事项。</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第五条 自治区企业技术中心的认定，原则上每年进行一次，各市工业和信息化局根据自治区经济和信息化委通知要求报送申请材料。</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2.《宁夏回族自治区企业技术中心认定管理办法》（宁经信规范发〔2018〕7 号）第七条 自治区企业技术中心认定程序：（二）企业自愿向所在的市级工业和信息化局提出书面申请，报送申请材料；（三）各市工业和信息化局根据本办法及通知要求，对企业报送的申请材料进行审查，推荐符合条件的企业技术中心，并将推荐企业技术中心名单及其申请材料报送自治区经济和信息化委。</w:t>
            </w:r>
          </w:p>
        </w:tc>
        <w:tc>
          <w:tcPr>
            <w:tcW w:w="850"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1.行政机关；</w:t>
            </w:r>
          </w:p>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eastAsia"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2.</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相关工作人员（受理人、审查人、决定人、法定代表人或分管领导）</w:t>
            </w:r>
          </w:p>
        </w:tc>
        <w:tc>
          <w:tcPr>
            <w:tcW w:w="1587"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因不履行或不正确履行行政职责，有下列情形的，行政机关及相关工作人员应承担相应责任：</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1.对符合法定条件的申请不予受理的；</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2.对不符合法定条件的申请人准予认定或者验收的；</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3.对符合法定条件的申请不予认定或者验收的；</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4.不依法履行监督职责或者监督不力，造成严重后果的；</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5.工作中滥用职权、玩忽职守、徇私舞弊的；</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6.索取或者收受他人财物或者谋取其他利益；</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7.其他违反法律法规规章文件规定的行为。</w:t>
            </w:r>
          </w:p>
        </w:tc>
        <w:tc>
          <w:tcPr>
            <w:tcW w:w="510"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both"/>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28" w:type="dxa"/>
            <w:left w:w="28" w:type="dxa"/>
            <w:bottom w:w="28" w:type="dxa"/>
            <w:right w:w="28" w:type="dxa"/>
          </w:tblCellMar>
        </w:tblPrEx>
        <w:trPr>
          <w:trHeight w:val="283" w:hRule="atLeast"/>
          <w:jc w:val="center"/>
        </w:trPr>
        <w:tc>
          <w:tcPr>
            <w:tcW w:w="3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3</w:t>
            </w:r>
          </w:p>
        </w:tc>
        <w:tc>
          <w:tcPr>
            <w:tcW w:w="850"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节能违法举报奖励</w:t>
            </w:r>
          </w:p>
        </w:tc>
        <w:tc>
          <w:tcPr>
            <w:tcW w:w="692"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both"/>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p>
        </w:tc>
        <w:tc>
          <w:tcPr>
            <w:tcW w:w="567"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行政奖励</w:t>
            </w:r>
          </w:p>
        </w:tc>
        <w:tc>
          <w:tcPr>
            <w:tcW w:w="1049"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0802001000</w:t>
            </w:r>
          </w:p>
        </w:tc>
        <w:tc>
          <w:tcPr>
            <w:tcW w:w="1049"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p>
        </w:tc>
        <w:tc>
          <w:tcPr>
            <w:tcW w:w="947"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银川市工业和信息化局</w:t>
            </w:r>
          </w:p>
        </w:tc>
        <w:tc>
          <w:tcPr>
            <w:tcW w:w="947"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银川市工业和信息化局</w:t>
            </w:r>
          </w:p>
        </w:tc>
        <w:tc>
          <w:tcPr>
            <w:tcW w:w="209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【法律】《中华人民共和国节约能源法》（2018年修正）</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第六十七条　各级人民政府对在节能管理、节能科学技术研究和推广应用中有显著成绩以及检举严重浪费能源行为的单位和个人，给予表彰和奖励。</w:t>
            </w:r>
          </w:p>
        </w:tc>
        <w:tc>
          <w:tcPr>
            <w:tcW w:w="1587"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1.受理责任：对举报严重浪费能源行为奖励的申请进行受理；</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2.表彰责任：按照规定的标准、权限和程序对在节能管理、节能科学技术研究和推广应用中有显著成绩以及检举严重浪费能源行为的单位和个人进行表彰。</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3.保密责任：对举报的单位和个人要严格进行保密，防止打击报复行为发生。</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4.归</w:t>
            </w:r>
            <w:r>
              <w:rPr>
                <w:rFonts w:hint="eastAsia"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档</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责任：按照档案管理的有关规范建立档案。</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5.其他法律法规规章文件规定应履行的责任。</w:t>
            </w:r>
          </w:p>
        </w:tc>
        <w:tc>
          <w:tcPr>
            <w:tcW w:w="209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1.《中华人民共和国节约能源法》（2018年修正）</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第六十七条 各级人民政府对在节能管理、节能科学技术研究和推广应用中有显著成绩以及检举严重浪费能源行为的单位和个人，给予表彰和奖励。</w:t>
            </w:r>
          </w:p>
        </w:tc>
        <w:tc>
          <w:tcPr>
            <w:tcW w:w="850"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1.行政机关；</w:t>
            </w:r>
          </w:p>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eastAsia"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2.</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相关工作人员（受理人、表彰人、保密人、归档人、法定代表人或分管领导）</w:t>
            </w:r>
          </w:p>
        </w:tc>
        <w:tc>
          <w:tcPr>
            <w:tcW w:w="1587"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因不履行或不正确履行行政职责，有下列情形的，行政机关及相关工作人员应承担相应责任：</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1.符合条件的申请不予受理审核的；</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2.未按程序擅自举办表彰奖励活动的；</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3.未按照规定进行公示的；</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4.工作中滥用职权、徇私舞弊、玩忽职守造成不良后果的；</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5.其他违反法律法规规章文件规定的行为。</w:t>
            </w:r>
          </w:p>
        </w:tc>
        <w:tc>
          <w:tcPr>
            <w:tcW w:w="510"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both"/>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p>
        </w:tc>
      </w:tr>
    </w:tbl>
    <w:p>
      <w:pPr>
        <w:keepNext w:val="0"/>
        <w:keepLines w:val="0"/>
        <w:pageBreakBefore w:val="0"/>
        <w:widowControl w:val="0"/>
        <w:kinsoku/>
        <w:wordWrap/>
        <w:overflowPunct/>
        <w:topLinePunct w:val="0"/>
        <w:autoSpaceDE/>
        <w:autoSpaceDN/>
        <w:bidi w:val="0"/>
        <w:adjustRightInd/>
        <w:snapToGrid/>
        <w:spacing w:line="100" w:lineRule="exact"/>
        <w:textAlignment w:val="auto"/>
        <w:outlineLvl w:val="9"/>
        <w:rPr>
          <w:rFonts w:hint="eastAsia"/>
        </w:rPr>
      </w:pPr>
    </w:p>
    <w:sectPr>
      <w:footerReference r:id="rId3" w:type="default"/>
      <w:pgSz w:w="16838" w:h="11906" w:orient="landscape"/>
      <w:pgMar w:top="1134" w:right="850" w:bottom="1134" w:left="850" w:header="851" w:footer="992" w:gutter="0"/>
      <w:pgBorders>
        <w:top w:val="none" w:sz="0" w:space="0"/>
        <w:left w:val="none" w:sz="0" w:space="0"/>
        <w:bottom w:val="none" w:sz="0" w:space="0"/>
        <w:right w:val="none" w:sz="0" w:space="0"/>
      </w:pgBorders>
      <w:pgNumType w:fmt="numberInDash"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方正舒体"/>
    <w:panose1 w:val="03000509000000000000"/>
    <w:charset w:val="86"/>
    <w:family w:val="script"/>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default" w:ascii="Times New Roman" w:hAnsi="Times New Roman" w:cs="Times New Roman"/>
                              <w:sz w:val="24"/>
                              <w:szCs w:val="40"/>
                              <w:lang w:eastAsia="zh-CN"/>
                            </w:rPr>
                            <w:fldChar w:fldCharType="begin"/>
                          </w:r>
                          <w:r>
                            <w:rPr>
                              <w:rFonts w:hint="default" w:ascii="Times New Roman" w:hAnsi="Times New Roman" w:cs="Times New Roman"/>
                              <w:sz w:val="24"/>
                              <w:szCs w:val="40"/>
                              <w:lang w:eastAsia="zh-CN"/>
                            </w:rPr>
                            <w:instrText xml:space="preserve"> PAGE  \* MERGEFORMAT </w:instrText>
                          </w:r>
                          <w:r>
                            <w:rPr>
                              <w:rFonts w:hint="default" w:ascii="Times New Roman" w:hAnsi="Times New Roman" w:cs="Times New Roman"/>
                              <w:sz w:val="24"/>
                              <w:szCs w:val="40"/>
                              <w:lang w:eastAsia="zh-CN"/>
                            </w:rPr>
                            <w:fldChar w:fldCharType="separate"/>
                          </w:r>
                          <w:r>
                            <w:rPr>
                              <w:rFonts w:hint="default" w:ascii="Times New Roman" w:hAnsi="Times New Roman" w:cs="Times New Roman"/>
                              <w:sz w:val="24"/>
                              <w:szCs w:val="40"/>
                              <w:lang w:eastAsia="zh-CN"/>
                            </w:rPr>
                            <w:t>- 1 -</w:t>
                          </w:r>
                          <w:r>
                            <w:rPr>
                              <w:rFonts w:hint="default" w:ascii="Times New Roman" w:hAnsi="Times New Roman" w:cs="Times New Roman"/>
                              <w:sz w:val="24"/>
                              <w:szCs w:val="40"/>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default" w:ascii="Times New Roman" w:hAnsi="Times New Roman" w:cs="Times New Roman"/>
                        <w:sz w:val="24"/>
                        <w:szCs w:val="40"/>
                        <w:lang w:eastAsia="zh-CN"/>
                      </w:rPr>
                      <w:fldChar w:fldCharType="begin"/>
                    </w:r>
                    <w:r>
                      <w:rPr>
                        <w:rFonts w:hint="default" w:ascii="Times New Roman" w:hAnsi="Times New Roman" w:cs="Times New Roman"/>
                        <w:sz w:val="24"/>
                        <w:szCs w:val="40"/>
                        <w:lang w:eastAsia="zh-CN"/>
                      </w:rPr>
                      <w:instrText xml:space="preserve"> PAGE  \* MERGEFORMAT </w:instrText>
                    </w:r>
                    <w:r>
                      <w:rPr>
                        <w:rFonts w:hint="default" w:ascii="Times New Roman" w:hAnsi="Times New Roman" w:cs="Times New Roman"/>
                        <w:sz w:val="24"/>
                        <w:szCs w:val="40"/>
                        <w:lang w:eastAsia="zh-CN"/>
                      </w:rPr>
                      <w:fldChar w:fldCharType="separate"/>
                    </w:r>
                    <w:r>
                      <w:rPr>
                        <w:rFonts w:hint="default" w:ascii="Times New Roman" w:hAnsi="Times New Roman" w:cs="Times New Roman"/>
                        <w:sz w:val="24"/>
                        <w:szCs w:val="40"/>
                        <w:lang w:eastAsia="zh-CN"/>
                      </w:rPr>
                      <w:t>- 1 -</w:t>
                    </w:r>
                    <w:r>
                      <w:rPr>
                        <w:rFonts w:hint="default" w:ascii="Times New Roman" w:hAnsi="Times New Roman" w:cs="Times New Roman"/>
                        <w:sz w:val="24"/>
                        <w:szCs w:val="40"/>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RhZTcxZDM3YTU1ZGI0N2U1ZWM3NGE5Yjc0OWQwYmIifQ=="/>
  </w:docVars>
  <w:rsids>
    <w:rsidRoot w:val="68003414"/>
    <w:rsid w:val="0307147B"/>
    <w:rsid w:val="05437DEC"/>
    <w:rsid w:val="05446710"/>
    <w:rsid w:val="0A3F2403"/>
    <w:rsid w:val="0CC90663"/>
    <w:rsid w:val="161971FA"/>
    <w:rsid w:val="193665BC"/>
    <w:rsid w:val="1BD023EC"/>
    <w:rsid w:val="1F8F4563"/>
    <w:rsid w:val="1F98594B"/>
    <w:rsid w:val="2055551F"/>
    <w:rsid w:val="22AB16AE"/>
    <w:rsid w:val="2B335523"/>
    <w:rsid w:val="2C414FF4"/>
    <w:rsid w:val="2FB064E7"/>
    <w:rsid w:val="3B19528D"/>
    <w:rsid w:val="429537B7"/>
    <w:rsid w:val="44491BEF"/>
    <w:rsid w:val="48521F68"/>
    <w:rsid w:val="4BEC5A39"/>
    <w:rsid w:val="4FD6722C"/>
    <w:rsid w:val="52326542"/>
    <w:rsid w:val="55D20ED8"/>
    <w:rsid w:val="5AE262A8"/>
    <w:rsid w:val="5B8A1528"/>
    <w:rsid w:val="5D294D96"/>
    <w:rsid w:val="60542DD2"/>
    <w:rsid w:val="67B416CB"/>
    <w:rsid w:val="68003414"/>
    <w:rsid w:val="69A90638"/>
    <w:rsid w:val="70504430"/>
    <w:rsid w:val="77FF90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3196</Words>
  <Characters>3310</Characters>
  <Lines>0</Lines>
  <Paragraphs>0</Paragraphs>
  <TotalTime>324</TotalTime>
  <ScaleCrop>false</ScaleCrop>
  <LinksUpToDate>false</LinksUpToDate>
  <CharactersWithSpaces>3332</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2022-07-19T21:55:00Z</dcterms:created>
  <dc:creator>Administrator</dc:creator>
  <cp:lastModifiedBy>55083</cp:lastModifiedBy>
  <cp:lastPrinted>2023-08-10T02:19:26Z</cp:lastPrinted>
  <dcterms:modified xsi:type="dcterms:W3CDTF">2023-08-10T07:31:38Z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C0EA9A9E685A4751AE1C54F6ABA26773_13</vt:lpwstr>
  </property>
</Properties>
</file>